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288E" w14:textId="1A2E2704" w:rsidR="000A6FA3" w:rsidRPr="003F59B3" w:rsidRDefault="00177C96" w:rsidP="007550FE">
      <w:pPr>
        <w:spacing w:after="0"/>
        <w:jc w:val="center"/>
        <w:rPr>
          <w:rFonts w:cs="Arial"/>
          <w:b/>
          <w:bCs/>
        </w:rPr>
      </w:pPr>
      <w:r w:rsidRPr="003F59B3">
        <w:rPr>
          <w:rFonts w:cs="Arial"/>
          <w:b/>
          <w:bCs/>
        </w:rPr>
        <w:t xml:space="preserve">Middle </w:t>
      </w:r>
      <w:r w:rsidR="007550FE" w:rsidRPr="003F59B3">
        <w:rPr>
          <w:rFonts w:cs="Arial"/>
          <w:b/>
          <w:bCs/>
        </w:rPr>
        <w:t>Tennessee Grand Division Meeting</w:t>
      </w:r>
    </w:p>
    <w:p w14:paraId="70BC62B3" w14:textId="0650849C" w:rsidR="007550FE" w:rsidRPr="001F161E" w:rsidRDefault="007550FE" w:rsidP="007550FE">
      <w:pPr>
        <w:spacing w:after="0"/>
        <w:jc w:val="center"/>
        <w:rPr>
          <w:rFonts w:cs="Arial"/>
        </w:rPr>
      </w:pPr>
      <w:r w:rsidRPr="001F161E">
        <w:rPr>
          <w:rFonts w:cs="Arial"/>
        </w:rPr>
        <w:t xml:space="preserve">April </w:t>
      </w:r>
      <w:r w:rsidR="00177C96" w:rsidRPr="001F161E">
        <w:rPr>
          <w:rFonts w:cs="Arial"/>
        </w:rPr>
        <w:t>1</w:t>
      </w:r>
      <w:r w:rsidR="00594A91">
        <w:rPr>
          <w:rFonts w:cs="Arial"/>
        </w:rPr>
        <w:t>6</w:t>
      </w:r>
      <w:r w:rsidRPr="001F161E">
        <w:rPr>
          <w:rFonts w:cs="Arial"/>
        </w:rPr>
        <w:t>, 202</w:t>
      </w:r>
      <w:r w:rsidR="00594A91">
        <w:rPr>
          <w:rFonts w:cs="Arial"/>
        </w:rPr>
        <w:t>5</w:t>
      </w:r>
    </w:p>
    <w:p w14:paraId="064F56D7" w14:textId="77777777" w:rsidR="001F0434" w:rsidRDefault="001F0434" w:rsidP="001F0434">
      <w:pPr>
        <w:spacing w:after="0"/>
        <w:jc w:val="center"/>
        <w:rPr>
          <w:rFonts w:cs="Arial"/>
        </w:rPr>
      </w:pPr>
      <w:r w:rsidRPr="001F0434">
        <w:rPr>
          <w:rFonts w:cs="Arial"/>
        </w:rPr>
        <w:t xml:space="preserve">Student Union Building, Room 224, </w:t>
      </w:r>
    </w:p>
    <w:p w14:paraId="016EC41C" w14:textId="0A5BFEEC" w:rsidR="001F0434" w:rsidRPr="001F0434" w:rsidRDefault="001F0434" w:rsidP="001F0434">
      <w:pPr>
        <w:spacing w:after="0"/>
        <w:jc w:val="center"/>
        <w:rPr>
          <w:rFonts w:cs="Arial"/>
        </w:rPr>
      </w:pPr>
      <w:r w:rsidRPr="001F0434">
        <w:rPr>
          <w:rFonts w:cs="Arial"/>
        </w:rPr>
        <w:t>1768 MTSU Blvd, Murfreesboro, TN 37132</w:t>
      </w:r>
    </w:p>
    <w:p w14:paraId="080D6DEA" w14:textId="77777777" w:rsidR="00386C25" w:rsidRPr="001F161E" w:rsidRDefault="00386C25" w:rsidP="007550FE">
      <w:pPr>
        <w:spacing w:after="0"/>
        <w:jc w:val="center"/>
      </w:pPr>
    </w:p>
    <w:tbl>
      <w:tblPr>
        <w:tblStyle w:val="TableGrid"/>
        <w:tblW w:w="0" w:type="auto"/>
        <w:tblLook w:val="04A0" w:firstRow="1" w:lastRow="0" w:firstColumn="1" w:lastColumn="0" w:noHBand="0" w:noVBand="1"/>
      </w:tblPr>
      <w:tblGrid>
        <w:gridCol w:w="3596"/>
        <w:gridCol w:w="3597"/>
        <w:gridCol w:w="3597"/>
      </w:tblGrid>
      <w:tr w:rsidR="007550FE" w:rsidRPr="001F161E" w14:paraId="264F70CD" w14:textId="77777777" w:rsidTr="007550FE">
        <w:tc>
          <w:tcPr>
            <w:tcW w:w="3596" w:type="dxa"/>
          </w:tcPr>
          <w:p w14:paraId="17493018" w14:textId="77842DB1" w:rsidR="007550FE" w:rsidRPr="001F161E" w:rsidRDefault="007550FE" w:rsidP="007550FE">
            <w:pPr>
              <w:jc w:val="center"/>
              <w:rPr>
                <w:rFonts w:cs="Arial"/>
              </w:rPr>
            </w:pPr>
            <w:r w:rsidRPr="001F161E">
              <w:rPr>
                <w:rFonts w:cs="Arial"/>
              </w:rPr>
              <w:t>Time</w:t>
            </w:r>
          </w:p>
        </w:tc>
        <w:tc>
          <w:tcPr>
            <w:tcW w:w="3597" w:type="dxa"/>
          </w:tcPr>
          <w:p w14:paraId="6DC6D9F0" w14:textId="0E55A7BC" w:rsidR="007550FE" w:rsidRPr="001F161E" w:rsidRDefault="007550FE" w:rsidP="007550FE">
            <w:pPr>
              <w:jc w:val="center"/>
              <w:rPr>
                <w:rFonts w:cs="Arial"/>
              </w:rPr>
            </w:pPr>
            <w:r w:rsidRPr="001F161E">
              <w:rPr>
                <w:rFonts w:cs="Arial"/>
              </w:rPr>
              <w:t>Topic</w:t>
            </w:r>
          </w:p>
        </w:tc>
        <w:tc>
          <w:tcPr>
            <w:tcW w:w="3597" w:type="dxa"/>
          </w:tcPr>
          <w:p w14:paraId="00A3C87F" w14:textId="524927A4" w:rsidR="007550FE" w:rsidRPr="001F161E" w:rsidRDefault="007550FE" w:rsidP="007550FE">
            <w:pPr>
              <w:jc w:val="center"/>
              <w:rPr>
                <w:rFonts w:cs="Arial"/>
              </w:rPr>
            </w:pPr>
            <w:r w:rsidRPr="001F161E">
              <w:rPr>
                <w:rFonts w:cs="Arial"/>
              </w:rPr>
              <w:t>Presenter</w:t>
            </w:r>
          </w:p>
        </w:tc>
      </w:tr>
      <w:tr w:rsidR="00E7533C" w:rsidRPr="001F161E" w14:paraId="040C5022" w14:textId="77777777" w:rsidTr="008C4E9A">
        <w:tc>
          <w:tcPr>
            <w:tcW w:w="3596" w:type="dxa"/>
            <w:vAlign w:val="center"/>
          </w:tcPr>
          <w:p w14:paraId="0DA1DAAB" w14:textId="77777777" w:rsidR="008C4E9A" w:rsidRDefault="008C4E9A" w:rsidP="008C4E9A">
            <w:pPr>
              <w:jc w:val="center"/>
              <w:rPr>
                <w:rFonts w:cs="Arial"/>
              </w:rPr>
            </w:pPr>
          </w:p>
          <w:p w14:paraId="02C0D53B" w14:textId="77777777" w:rsidR="00994C49" w:rsidRDefault="00E7533C" w:rsidP="008C4E9A">
            <w:pPr>
              <w:jc w:val="center"/>
              <w:rPr>
                <w:rFonts w:cs="Arial"/>
              </w:rPr>
            </w:pPr>
            <w:r w:rsidRPr="001F161E">
              <w:rPr>
                <w:rFonts w:cs="Arial"/>
              </w:rPr>
              <w:t>8:00 am – 9:00 am</w:t>
            </w:r>
          </w:p>
          <w:p w14:paraId="5230C507" w14:textId="1ADC39CB" w:rsidR="008C4E9A" w:rsidRPr="001F161E" w:rsidRDefault="008C4E9A" w:rsidP="008C4E9A">
            <w:pPr>
              <w:jc w:val="center"/>
              <w:rPr>
                <w:rFonts w:cs="Arial"/>
              </w:rPr>
            </w:pPr>
          </w:p>
        </w:tc>
        <w:tc>
          <w:tcPr>
            <w:tcW w:w="3597" w:type="dxa"/>
            <w:vAlign w:val="center"/>
          </w:tcPr>
          <w:p w14:paraId="34038DC9" w14:textId="0FCF6C6C" w:rsidR="00E7533C" w:rsidRPr="001F161E" w:rsidRDefault="00E7533C" w:rsidP="0040740B">
            <w:pPr>
              <w:jc w:val="center"/>
              <w:rPr>
                <w:rFonts w:cs="Arial"/>
              </w:rPr>
            </w:pPr>
            <w:r w:rsidRPr="001F161E">
              <w:rPr>
                <w:rFonts w:cs="Arial"/>
              </w:rPr>
              <w:t>Registration</w:t>
            </w:r>
          </w:p>
        </w:tc>
        <w:tc>
          <w:tcPr>
            <w:tcW w:w="3597" w:type="dxa"/>
            <w:vAlign w:val="center"/>
          </w:tcPr>
          <w:p w14:paraId="0763359C" w14:textId="77777777" w:rsidR="00E7533C" w:rsidRPr="001F161E" w:rsidRDefault="00E7533C" w:rsidP="0040740B">
            <w:pPr>
              <w:jc w:val="center"/>
              <w:rPr>
                <w:rFonts w:cs="Arial"/>
              </w:rPr>
            </w:pPr>
          </w:p>
        </w:tc>
      </w:tr>
      <w:tr w:rsidR="00E7533C" w:rsidRPr="001F161E" w14:paraId="28A63BF2" w14:textId="77777777" w:rsidTr="008C4E9A">
        <w:tc>
          <w:tcPr>
            <w:tcW w:w="3596" w:type="dxa"/>
            <w:vAlign w:val="center"/>
          </w:tcPr>
          <w:p w14:paraId="73AF9723" w14:textId="472D806E" w:rsidR="00E7533C" w:rsidRPr="001F161E" w:rsidRDefault="00E7533C" w:rsidP="008C4E9A">
            <w:pPr>
              <w:jc w:val="center"/>
              <w:rPr>
                <w:rFonts w:cs="Arial"/>
              </w:rPr>
            </w:pPr>
            <w:r w:rsidRPr="001F161E">
              <w:rPr>
                <w:rFonts w:cs="Arial"/>
              </w:rPr>
              <w:t>8:45 am – 9:00 am</w:t>
            </w:r>
          </w:p>
        </w:tc>
        <w:tc>
          <w:tcPr>
            <w:tcW w:w="3597" w:type="dxa"/>
            <w:vAlign w:val="center"/>
          </w:tcPr>
          <w:p w14:paraId="32461AD1" w14:textId="4BEFD5DF" w:rsidR="00E7533C" w:rsidRPr="001F161E" w:rsidRDefault="00E7533C" w:rsidP="0040740B">
            <w:pPr>
              <w:jc w:val="center"/>
              <w:rPr>
                <w:rFonts w:cs="Arial"/>
              </w:rPr>
            </w:pPr>
            <w:r w:rsidRPr="001F161E">
              <w:rPr>
                <w:rFonts w:cs="Arial"/>
              </w:rPr>
              <w:t>Welcome</w:t>
            </w:r>
          </w:p>
        </w:tc>
        <w:tc>
          <w:tcPr>
            <w:tcW w:w="3597" w:type="dxa"/>
            <w:vAlign w:val="center"/>
          </w:tcPr>
          <w:p w14:paraId="664BAF2C" w14:textId="4193507B" w:rsidR="00177C96" w:rsidRPr="001F161E" w:rsidRDefault="00386C25" w:rsidP="0040740B">
            <w:pPr>
              <w:jc w:val="center"/>
              <w:rPr>
                <w:rFonts w:cs="Arial"/>
              </w:rPr>
            </w:pPr>
            <w:r>
              <w:rPr>
                <w:rFonts w:cs="Arial"/>
              </w:rPr>
              <w:t>Shatonia Kenion</w:t>
            </w:r>
          </w:p>
          <w:p w14:paraId="2904C456" w14:textId="6C6A6CE5" w:rsidR="00E7533C" w:rsidRPr="001F161E" w:rsidRDefault="00E7533C" w:rsidP="0040740B">
            <w:pPr>
              <w:jc w:val="center"/>
              <w:rPr>
                <w:rFonts w:cs="Arial"/>
              </w:rPr>
            </w:pPr>
            <w:r w:rsidRPr="001F161E">
              <w:rPr>
                <w:rFonts w:cs="Arial"/>
              </w:rPr>
              <w:t>T</w:t>
            </w:r>
            <w:r w:rsidR="00177C96" w:rsidRPr="001F161E">
              <w:rPr>
                <w:rFonts w:cs="Arial"/>
              </w:rPr>
              <w:t>PHA Middle TN Vice-</w:t>
            </w:r>
            <w:r w:rsidRPr="001F161E">
              <w:rPr>
                <w:rFonts w:cs="Arial"/>
              </w:rPr>
              <w:t>President</w:t>
            </w:r>
          </w:p>
          <w:p w14:paraId="1239CDDE" w14:textId="4CA7F800" w:rsidR="00E7533C" w:rsidRPr="001F161E" w:rsidRDefault="00352190" w:rsidP="0040740B">
            <w:pPr>
              <w:jc w:val="center"/>
              <w:rPr>
                <w:rFonts w:cs="Arial"/>
              </w:rPr>
            </w:pPr>
            <w:r>
              <w:rPr>
                <w:rFonts w:cs="Arial"/>
              </w:rPr>
              <w:t>Kaysi Paul</w:t>
            </w:r>
          </w:p>
          <w:p w14:paraId="7B06BA99" w14:textId="77777777" w:rsidR="00E7533C" w:rsidRDefault="00177C96" w:rsidP="0040740B">
            <w:pPr>
              <w:jc w:val="center"/>
              <w:rPr>
                <w:rFonts w:cs="Arial"/>
              </w:rPr>
            </w:pPr>
            <w:r w:rsidRPr="001F161E">
              <w:rPr>
                <w:rFonts w:cs="Arial"/>
              </w:rPr>
              <w:t xml:space="preserve">Middle TN </w:t>
            </w:r>
            <w:r w:rsidR="00E7533C" w:rsidRPr="001F161E">
              <w:rPr>
                <w:rFonts w:cs="Arial"/>
              </w:rPr>
              <w:t>Vice President</w:t>
            </w:r>
            <w:r w:rsidRPr="001F161E">
              <w:rPr>
                <w:rFonts w:cs="Arial"/>
              </w:rPr>
              <w:t>-elect</w:t>
            </w:r>
          </w:p>
          <w:p w14:paraId="467F9C91" w14:textId="5F39E1E0" w:rsidR="003B78EB" w:rsidRPr="001F161E" w:rsidRDefault="003B78EB" w:rsidP="0040740B">
            <w:pPr>
              <w:jc w:val="center"/>
              <w:rPr>
                <w:rFonts w:cs="Arial"/>
              </w:rPr>
            </w:pPr>
          </w:p>
        </w:tc>
      </w:tr>
      <w:tr w:rsidR="007550FE" w:rsidRPr="001F161E" w14:paraId="0026CBF9" w14:textId="77777777" w:rsidTr="008C4E9A">
        <w:tc>
          <w:tcPr>
            <w:tcW w:w="3596" w:type="dxa"/>
            <w:vAlign w:val="center"/>
          </w:tcPr>
          <w:p w14:paraId="0A7EDE51" w14:textId="77777777" w:rsidR="008C4E9A" w:rsidRDefault="008C4E9A" w:rsidP="008C4E9A">
            <w:pPr>
              <w:jc w:val="center"/>
              <w:rPr>
                <w:rFonts w:cs="Arial"/>
              </w:rPr>
            </w:pPr>
          </w:p>
          <w:p w14:paraId="2A81925A" w14:textId="77777777" w:rsidR="008C4E9A" w:rsidRDefault="008C4E9A" w:rsidP="008C4E9A">
            <w:pPr>
              <w:jc w:val="center"/>
              <w:rPr>
                <w:rFonts w:cs="Arial"/>
              </w:rPr>
            </w:pPr>
          </w:p>
          <w:p w14:paraId="708776A0" w14:textId="1E84CFC6" w:rsidR="00994C49" w:rsidRDefault="007550FE" w:rsidP="008C4E9A">
            <w:pPr>
              <w:jc w:val="center"/>
              <w:rPr>
                <w:rFonts w:cs="Arial"/>
              </w:rPr>
            </w:pPr>
            <w:r w:rsidRPr="001F161E">
              <w:rPr>
                <w:rFonts w:cs="Arial"/>
              </w:rPr>
              <w:t>9:00 am – 1</w:t>
            </w:r>
            <w:r w:rsidR="00177C96" w:rsidRPr="001F161E">
              <w:rPr>
                <w:rFonts w:cs="Arial"/>
              </w:rPr>
              <w:t>0</w:t>
            </w:r>
            <w:r w:rsidRPr="001F161E">
              <w:rPr>
                <w:rFonts w:cs="Arial"/>
              </w:rPr>
              <w:t>:00 am</w:t>
            </w:r>
          </w:p>
          <w:p w14:paraId="37BD1111" w14:textId="77777777" w:rsidR="008C4E9A" w:rsidRDefault="008C4E9A" w:rsidP="008C4E9A">
            <w:pPr>
              <w:jc w:val="center"/>
              <w:rPr>
                <w:rFonts w:cs="Arial"/>
              </w:rPr>
            </w:pPr>
          </w:p>
          <w:p w14:paraId="50A738F2" w14:textId="3ECFA73A" w:rsidR="00994C49" w:rsidRPr="001F161E" w:rsidRDefault="00994C49" w:rsidP="008C4E9A">
            <w:pPr>
              <w:jc w:val="center"/>
              <w:rPr>
                <w:rFonts w:cs="Arial"/>
              </w:rPr>
            </w:pPr>
          </w:p>
        </w:tc>
        <w:tc>
          <w:tcPr>
            <w:tcW w:w="3597" w:type="dxa"/>
            <w:vAlign w:val="center"/>
          </w:tcPr>
          <w:p w14:paraId="3A408467" w14:textId="76E12A04" w:rsidR="007550FE" w:rsidRPr="001F161E" w:rsidRDefault="00765EC2" w:rsidP="0040740B">
            <w:pPr>
              <w:jc w:val="center"/>
              <w:rPr>
                <w:rFonts w:cs="Arial"/>
              </w:rPr>
            </w:pPr>
            <w:r>
              <w:rPr>
                <w:rFonts w:cs="Arial"/>
              </w:rPr>
              <w:t>Trauma-Informed Workplace</w:t>
            </w:r>
          </w:p>
        </w:tc>
        <w:tc>
          <w:tcPr>
            <w:tcW w:w="3597" w:type="dxa"/>
            <w:vAlign w:val="center"/>
          </w:tcPr>
          <w:p w14:paraId="491CE1AF" w14:textId="77777777" w:rsidR="0020409E" w:rsidRDefault="00B758A7" w:rsidP="0040740B">
            <w:pPr>
              <w:jc w:val="center"/>
              <w:rPr>
                <w:rFonts w:cs="Arial"/>
              </w:rPr>
            </w:pPr>
            <w:r>
              <w:rPr>
                <w:rFonts w:cs="Arial"/>
              </w:rPr>
              <w:t xml:space="preserve">Dr. </w:t>
            </w:r>
            <w:r w:rsidR="00E541D0">
              <w:rPr>
                <w:rFonts w:cs="Arial"/>
              </w:rPr>
              <w:t xml:space="preserve">Elizabeth </w:t>
            </w:r>
            <w:r w:rsidR="00E75C18">
              <w:rPr>
                <w:rFonts w:cs="Arial"/>
              </w:rPr>
              <w:t>Q. Wright</w:t>
            </w:r>
          </w:p>
          <w:p w14:paraId="5824358A" w14:textId="534AF145" w:rsidR="00904D68" w:rsidRPr="001F161E" w:rsidRDefault="00904D68" w:rsidP="0040740B">
            <w:pPr>
              <w:jc w:val="center"/>
              <w:rPr>
                <w:rFonts w:cs="Arial"/>
              </w:rPr>
            </w:pPr>
            <w:r w:rsidRPr="00904D68">
              <w:rPr>
                <w:rFonts w:cs="Arial"/>
              </w:rPr>
              <w:t>MTSU Department of Criminal Justice Administration</w:t>
            </w:r>
          </w:p>
        </w:tc>
      </w:tr>
      <w:tr w:rsidR="007550FE" w:rsidRPr="001F161E" w14:paraId="59C6FEC8" w14:textId="77777777" w:rsidTr="008C4E9A">
        <w:tc>
          <w:tcPr>
            <w:tcW w:w="3596" w:type="dxa"/>
            <w:vAlign w:val="center"/>
          </w:tcPr>
          <w:p w14:paraId="6B6BC4F4" w14:textId="526E1284" w:rsidR="007550FE" w:rsidRPr="001F161E" w:rsidRDefault="007550FE" w:rsidP="008C4E9A">
            <w:pPr>
              <w:jc w:val="center"/>
              <w:rPr>
                <w:rFonts w:cs="Arial"/>
              </w:rPr>
            </w:pPr>
            <w:r w:rsidRPr="001F161E">
              <w:rPr>
                <w:rFonts w:cs="Arial"/>
              </w:rPr>
              <w:t>1</w:t>
            </w:r>
            <w:r w:rsidR="00177C96" w:rsidRPr="001F161E">
              <w:rPr>
                <w:rFonts w:cs="Arial"/>
              </w:rPr>
              <w:t>0</w:t>
            </w:r>
            <w:r w:rsidRPr="001F161E">
              <w:rPr>
                <w:rFonts w:cs="Arial"/>
              </w:rPr>
              <w:t>:00 am – 1</w:t>
            </w:r>
            <w:r w:rsidR="00177C96" w:rsidRPr="001F161E">
              <w:rPr>
                <w:rFonts w:cs="Arial"/>
              </w:rPr>
              <w:t>1</w:t>
            </w:r>
            <w:r w:rsidRPr="001F161E">
              <w:rPr>
                <w:rFonts w:cs="Arial"/>
              </w:rPr>
              <w:t xml:space="preserve">:00 </w:t>
            </w:r>
            <w:r w:rsidR="00B23130">
              <w:rPr>
                <w:rFonts w:cs="Arial"/>
              </w:rPr>
              <w:t>a</w:t>
            </w:r>
            <w:r w:rsidRPr="001F161E">
              <w:rPr>
                <w:rFonts w:cs="Arial"/>
              </w:rPr>
              <w:t>m</w:t>
            </w:r>
          </w:p>
        </w:tc>
        <w:tc>
          <w:tcPr>
            <w:tcW w:w="3597" w:type="dxa"/>
            <w:vAlign w:val="center"/>
          </w:tcPr>
          <w:p w14:paraId="206FB902" w14:textId="3CD86D97" w:rsidR="007550FE" w:rsidRPr="001F161E" w:rsidRDefault="000C065E" w:rsidP="0040740B">
            <w:pPr>
              <w:jc w:val="center"/>
              <w:rPr>
                <w:rFonts w:cs="Arial"/>
              </w:rPr>
            </w:pPr>
            <w:r w:rsidRPr="000C065E">
              <w:rPr>
                <w:rFonts w:cs="Arial"/>
              </w:rPr>
              <w:t>College Food Insecurity: A Call to Action</w:t>
            </w:r>
          </w:p>
        </w:tc>
        <w:tc>
          <w:tcPr>
            <w:tcW w:w="3597" w:type="dxa"/>
            <w:vAlign w:val="center"/>
          </w:tcPr>
          <w:p w14:paraId="0D211AFA" w14:textId="42A2AF7D" w:rsidR="00D517C5" w:rsidRDefault="00A139C9" w:rsidP="0040740B">
            <w:pPr>
              <w:jc w:val="center"/>
              <w:rPr>
                <w:rFonts w:cs="Arial"/>
              </w:rPr>
            </w:pPr>
            <w:r>
              <w:rPr>
                <w:rFonts w:cs="Arial"/>
              </w:rPr>
              <w:t xml:space="preserve">Dr. </w:t>
            </w:r>
            <w:r w:rsidR="00391D0B">
              <w:rPr>
                <w:rFonts w:cs="Arial"/>
              </w:rPr>
              <w:t>Sarah Harris</w:t>
            </w:r>
            <w:r w:rsidR="00890DC5">
              <w:rPr>
                <w:rFonts w:cs="Arial"/>
              </w:rPr>
              <w:t>,</w:t>
            </w:r>
          </w:p>
          <w:p w14:paraId="0405D9A9" w14:textId="5422D7BF" w:rsidR="00890DC5" w:rsidRDefault="00890DC5" w:rsidP="0040740B">
            <w:pPr>
              <w:jc w:val="center"/>
              <w:rPr>
                <w:rFonts w:cs="Arial"/>
              </w:rPr>
            </w:pPr>
            <w:r>
              <w:rPr>
                <w:rFonts w:cs="Arial"/>
              </w:rPr>
              <w:t>Registered Dietitian</w:t>
            </w:r>
          </w:p>
          <w:p w14:paraId="2927022F" w14:textId="77777777" w:rsidR="00391D0B" w:rsidRDefault="00890DC5" w:rsidP="0040740B">
            <w:pPr>
              <w:jc w:val="center"/>
              <w:rPr>
                <w:rFonts w:cs="Arial"/>
              </w:rPr>
            </w:pPr>
            <w:bookmarkStart w:id="0" w:name="_Hlk191460697"/>
            <w:r>
              <w:rPr>
                <w:rFonts w:cs="Arial"/>
              </w:rPr>
              <w:t>MTSU Nutrition and Food Science Department</w:t>
            </w:r>
            <w:bookmarkEnd w:id="0"/>
          </w:p>
          <w:p w14:paraId="79194708" w14:textId="78AB57CA" w:rsidR="003B78EB" w:rsidRPr="001F161E" w:rsidRDefault="003B78EB" w:rsidP="0040740B">
            <w:pPr>
              <w:jc w:val="center"/>
              <w:rPr>
                <w:rFonts w:cs="Arial"/>
              </w:rPr>
            </w:pPr>
          </w:p>
        </w:tc>
      </w:tr>
      <w:tr w:rsidR="00177C96" w:rsidRPr="001F161E" w14:paraId="74C7398A" w14:textId="77777777" w:rsidTr="008C4E9A">
        <w:tc>
          <w:tcPr>
            <w:tcW w:w="3596" w:type="dxa"/>
            <w:vAlign w:val="center"/>
          </w:tcPr>
          <w:p w14:paraId="5A1A7DD1" w14:textId="77777777" w:rsidR="008C4E9A" w:rsidRDefault="008C4E9A" w:rsidP="008C4E9A">
            <w:pPr>
              <w:jc w:val="center"/>
              <w:rPr>
                <w:rFonts w:cs="Arial"/>
              </w:rPr>
            </w:pPr>
          </w:p>
          <w:p w14:paraId="3CC9233D" w14:textId="77777777" w:rsidR="008C4E9A" w:rsidRDefault="008C4E9A" w:rsidP="008C4E9A">
            <w:pPr>
              <w:jc w:val="center"/>
              <w:rPr>
                <w:rFonts w:cs="Arial"/>
              </w:rPr>
            </w:pPr>
          </w:p>
          <w:p w14:paraId="1C86E885" w14:textId="05522E5C" w:rsidR="0040740B" w:rsidRDefault="00177C96" w:rsidP="008C4E9A">
            <w:pPr>
              <w:jc w:val="center"/>
              <w:rPr>
                <w:rFonts w:cs="Arial"/>
              </w:rPr>
            </w:pPr>
            <w:r w:rsidRPr="001F161E">
              <w:rPr>
                <w:rFonts w:cs="Arial"/>
              </w:rPr>
              <w:t>11:00 am – 12:00 pm</w:t>
            </w:r>
          </w:p>
          <w:p w14:paraId="65F1B8FA" w14:textId="77777777" w:rsidR="008C4E9A" w:rsidRDefault="008C4E9A" w:rsidP="008C4E9A">
            <w:pPr>
              <w:jc w:val="center"/>
              <w:rPr>
                <w:rFonts w:cs="Arial"/>
              </w:rPr>
            </w:pPr>
          </w:p>
          <w:p w14:paraId="28690FE9" w14:textId="61642634" w:rsidR="008C4E9A" w:rsidRPr="001F161E" w:rsidRDefault="008C4E9A" w:rsidP="008C4E9A">
            <w:pPr>
              <w:jc w:val="center"/>
              <w:rPr>
                <w:rFonts w:cs="Arial"/>
              </w:rPr>
            </w:pPr>
          </w:p>
        </w:tc>
        <w:tc>
          <w:tcPr>
            <w:tcW w:w="3597" w:type="dxa"/>
            <w:vAlign w:val="center"/>
          </w:tcPr>
          <w:p w14:paraId="619431CA" w14:textId="3FEB43CB" w:rsidR="00177C96" w:rsidRPr="001F161E" w:rsidRDefault="00F50270" w:rsidP="0040740B">
            <w:pPr>
              <w:jc w:val="center"/>
              <w:rPr>
                <w:rFonts w:cs="Arial"/>
              </w:rPr>
            </w:pPr>
            <w:r w:rsidRPr="00F50270">
              <w:rPr>
                <w:rFonts w:cs="Arial"/>
              </w:rPr>
              <w:t>Tennessee's Public Health in 2025: Rebuilding Trust through Local Engagement</w:t>
            </w:r>
          </w:p>
        </w:tc>
        <w:tc>
          <w:tcPr>
            <w:tcW w:w="3597" w:type="dxa"/>
            <w:vAlign w:val="center"/>
          </w:tcPr>
          <w:p w14:paraId="0E7CF769" w14:textId="390551CF" w:rsidR="00B34833" w:rsidRDefault="00A720BC" w:rsidP="0040740B">
            <w:pPr>
              <w:jc w:val="center"/>
              <w:rPr>
                <w:rFonts w:cs="Arial"/>
              </w:rPr>
            </w:pPr>
            <w:r>
              <w:rPr>
                <w:rFonts w:cs="Arial"/>
              </w:rPr>
              <w:t xml:space="preserve">Dr. </w:t>
            </w:r>
            <w:r w:rsidR="000F6B8C">
              <w:rPr>
                <w:rFonts w:cs="Arial"/>
              </w:rPr>
              <w:t xml:space="preserve">Ralph </w:t>
            </w:r>
            <w:r>
              <w:rPr>
                <w:rFonts w:cs="Arial"/>
              </w:rPr>
              <w:t>Alvarado</w:t>
            </w:r>
            <w:r w:rsidR="00890DC5">
              <w:rPr>
                <w:rFonts w:cs="Arial"/>
              </w:rPr>
              <w:t>,</w:t>
            </w:r>
          </w:p>
          <w:p w14:paraId="1BFE253C" w14:textId="7FE71CF3" w:rsidR="00890DC5" w:rsidRDefault="00890DC5" w:rsidP="0040740B">
            <w:pPr>
              <w:jc w:val="center"/>
              <w:rPr>
                <w:rFonts w:cs="Arial"/>
              </w:rPr>
            </w:pPr>
            <w:r>
              <w:rPr>
                <w:rFonts w:cs="Arial"/>
              </w:rPr>
              <w:t>Commissioner</w:t>
            </w:r>
          </w:p>
          <w:p w14:paraId="0D46EB8D" w14:textId="414EC5AC" w:rsidR="00A720BC" w:rsidRPr="001F161E" w:rsidRDefault="00A720BC" w:rsidP="0040740B">
            <w:pPr>
              <w:jc w:val="center"/>
              <w:rPr>
                <w:rFonts w:cs="Arial"/>
              </w:rPr>
            </w:pPr>
            <w:r>
              <w:rPr>
                <w:rFonts w:cs="Arial"/>
              </w:rPr>
              <w:t>Tennessee Department of Health</w:t>
            </w:r>
          </w:p>
        </w:tc>
      </w:tr>
      <w:tr w:rsidR="007550FE" w:rsidRPr="001F161E" w14:paraId="292E99E1" w14:textId="77777777" w:rsidTr="008C4E9A">
        <w:tc>
          <w:tcPr>
            <w:tcW w:w="3596" w:type="dxa"/>
            <w:vAlign w:val="center"/>
          </w:tcPr>
          <w:p w14:paraId="11D84A53" w14:textId="77777777" w:rsidR="008C4E9A" w:rsidRDefault="008C4E9A" w:rsidP="008C4E9A">
            <w:pPr>
              <w:jc w:val="center"/>
              <w:rPr>
                <w:rFonts w:cs="Arial"/>
              </w:rPr>
            </w:pPr>
          </w:p>
          <w:p w14:paraId="37B285E7" w14:textId="77777777" w:rsidR="008C4E9A" w:rsidRDefault="008C4E9A" w:rsidP="008C4E9A">
            <w:pPr>
              <w:jc w:val="center"/>
              <w:rPr>
                <w:rFonts w:cs="Arial"/>
              </w:rPr>
            </w:pPr>
          </w:p>
          <w:p w14:paraId="58CDBAE7" w14:textId="4232F374" w:rsidR="007550FE" w:rsidRDefault="007550FE" w:rsidP="008C4E9A">
            <w:pPr>
              <w:jc w:val="center"/>
              <w:rPr>
                <w:rFonts w:cs="Arial"/>
              </w:rPr>
            </w:pPr>
            <w:r w:rsidRPr="001F161E">
              <w:rPr>
                <w:rFonts w:cs="Arial"/>
              </w:rPr>
              <w:t>12:00 pm – 1:00 pm</w:t>
            </w:r>
          </w:p>
          <w:p w14:paraId="6AA2F55C" w14:textId="48AFD4AF" w:rsidR="00994C49" w:rsidRDefault="00994C49" w:rsidP="008C4E9A">
            <w:pPr>
              <w:rPr>
                <w:rFonts w:cs="Arial"/>
              </w:rPr>
            </w:pPr>
          </w:p>
          <w:p w14:paraId="422928AE" w14:textId="5AB47C26" w:rsidR="00994C49" w:rsidRPr="001F161E" w:rsidRDefault="00994C49" w:rsidP="008C4E9A">
            <w:pPr>
              <w:rPr>
                <w:rFonts w:cs="Arial"/>
              </w:rPr>
            </w:pPr>
          </w:p>
        </w:tc>
        <w:tc>
          <w:tcPr>
            <w:tcW w:w="3597" w:type="dxa"/>
            <w:vAlign w:val="center"/>
          </w:tcPr>
          <w:p w14:paraId="400A75E0" w14:textId="31772342" w:rsidR="007550FE" w:rsidRPr="001F161E" w:rsidRDefault="007550FE" w:rsidP="0040740B">
            <w:pPr>
              <w:jc w:val="center"/>
              <w:rPr>
                <w:rFonts w:cs="Arial"/>
              </w:rPr>
            </w:pPr>
            <w:r w:rsidRPr="001F161E">
              <w:rPr>
                <w:rFonts w:cs="Arial"/>
              </w:rPr>
              <w:t>Lunch</w:t>
            </w:r>
          </w:p>
        </w:tc>
        <w:tc>
          <w:tcPr>
            <w:tcW w:w="3597" w:type="dxa"/>
            <w:vAlign w:val="center"/>
          </w:tcPr>
          <w:p w14:paraId="6C58E3F8" w14:textId="77777777" w:rsidR="007550FE" w:rsidRPr="001F161E" w:rsidRDefault="007550FE" w:rsidP="0040740B">
            <w:pPr>
              <w:jc w:val="center"/>
              <w:rPr>
                <w:rFonts w:cs="Arial"/>
              </w:rPr>
            </w:pPr>
          </w:p>
        </w:tc>
      </w:tr>
      <w:tr w:rsidR="007550FE" w:rsidRPr="001F161E" w14:paraId="619E07F4" w14:textId="77777777" w:rsidTr="008C4E9A">
        <w:tc>
          <w:tcPr>
            <w:tcW w:w="3596" w:type="dxa"/>
            <w:vAlign w:val="center"/>
          </w:tcPr>
          <w:p w14:paraId="6510C3AC" w14:textId="77777777" w:rsidR="008C4E9A" w:rsidRPr="003B78EB" w:rsidRDefault="008C4E9A" w:rsidP="008C4E9A">
            <w:pPr>
              <w:jc w:val="center"/>
              <w:rPr>
                <w:rFonts w:cs="Arial"/>
              </w:rPr>
            </w:pPr>
          </w:p>
          <w:p w14:paraId="5E897D23" w14:textId="5E6BB522" w:rsidR="00994C49" w:rsidRPr="003B78EB" w:rsidRDefault="00E7533C" w:rsidP="008C4E9A">
            <w:pPr>
              <w:jc w:val="center"/>
              <w:rPr>
                <w:rFonts w:cs="Arial"/>
              </w:rPr>
            </w:pPr>
            <w:r w:rsidRPr="003B78EB">
              <w:rPr>
                <w:rFonts w:cs="Arial"/>
              </w:rPr>
              <w:t xml:space="preserve">1:00 pm – </w:t>
            </w:r>
            <w:r w:rsidR="00B23130" w:rsidRPr="003B78EB">
              <w:rPr>
                <w:rFonts w:cs="Arial"/>
              </w:rPr>
              <w:t>2:00</w:t>
            </w:r>
            <w:r w:rsidRPr="003B78EB">
              <w:rPr>
                <w:rFonts w:cs="Arial"/>
              </w:rPr>
              <w:t xml:space="preserve"> pm</w:t>
            </w:r>
          </w:p>
          <w:p w14:paraId="7BD21F15" w14:textId="0E364DC3" w:rsidR="00994C49" w:rsidRPr="003B78EB" w:rsidRDefault="00994C49" w:rsidP="008C4E9A">
            <w:pPr>
              <w:jc w:val="center"/>
              <w:rPr>
                <w:rFonts w:cs="Arial"/>
              </w:rPr>
            </w:pPr>
          </w:p>
        </w:tc>
        <w:tc>
          <w:tcPr>
            <w:tcW w:w="3597" w:type="dxa"/>
            <w:vAlign w:val="center"/>
          </w:tcPr>
          <w:p w14:paraId="46FF5A5F" w14:textId="04ADA245" w:rsidR="007550FE" w:rsidRPr="003B78EB" w:rsidRDefault="00401AFB" w:rsidP="0040740B">
            <w:pPr>
              <w:jc w:val="center"/>
              <w:rPr>
                <w:rFonts w:cs="Arial"/>
              </w:rPr>
            </w:pPr>
            <w:r w:rsidRPr="003B78EB">
              <w:rPr>
                <w:rFonts w:cs="Arial"/>
              </w:rPr>
              <w:t>Healthy Aging &amp; Frai</w:t>
            </w:r>
            <w:r w:rsidR="0046118D" w:rsidRPr="003B78EB">
              <w:rPr>
                <w:rFonts w:cs="Arial"/>
              </w:rPr>
              <w:t>lty</w:t>
            </w:r>
          </w:p>
        </w:tc>
        <w:tc>
          <w:tcPr>
            <w:tcW w:w="3597" w:type="dxa"/>
            <w:vAlign w:val="center"/>
          </w:tcPr>
          <w:p w14:paraId="5C3CB388" w14:textId="77777777" w:rsidR="00177C96" w:rsidRPr="003B78EB" w:rsidRDefault="00A139C9" w:rsidP="0040740B">
            <w:pPr>
              <w:jc w:val="center"/>
              <w:rPr>
                <w:rFonts w:cs="Arial"/>
              </w:rPr>
            </w:pPr>
            <w:r w:rsidRPr="003B78EB">
              <w:rPr>
                <w:rFonts w:cs="Arial"/>
              </w:rPr>
              <w:t xml:space="preserve">Dr. </w:t>
            </w:r>
            <w:r w:rsidR="00B23130" w:rsidRPr="003B78EB">
              <w:rPr>
                <w:rFonts w:cs="Arial"/>
              </w:rPr>
              <w:t>Brandon Grubbs</w:t>
            </w:r>
          </w:p>
          <w:p w14:paraId="1EDB37FB" w14:textId="77777777" w:rsidR="00A16A87" w:rsidRDefault="00A16A87" w:rsidP="00A16A87">
            <w:pPr>
              <w:jc w:val="center"/>
              <w:rPr>
                <w:rFonts w:cs="Arial"/>
              </w:rPr>
            </w:pPr>
            <w:r w:rsidRPr="00A16A87">
              <w:rPr>
                <w:rFonts w:cs="Arial"/>
              </w:rPr>
              <w:t>Associate Professor of Exercise Science at Middle Tennessee State University</w:t>
            </w:r>
          </w:p>
          <w:p w14:paraId="4D3ABE29" w14:textId="5CE4A0D4" w:rsidR="003B78EB" w:rsidRPr="003B78EB" w:rsidRDefault="003B78EB" w:rsidP="00A16A87">
            <w:pPr>
              <w:jc w:val="center"/>
              <w:rPr>
                <w:rFonts w:cs="Arial"/>
              </w:rPr>
            </w:pPr>
          </w:p>
        </w:tc>
      </w:tr>
      <w:tr w:rsidR="007550FE" w:rsidRPr="001F161E" w14:paraId="18C1FD0D" w14:textId="77777777" w:rsidTr="008C4E9A">
        <w:tc>
          <w:tcPr>
            <w:tcW w:w="3596" w:type="dxa"/>
            <w:vAlign w:val="center"/>
          </w:tcPr>
          <w:p w14:paraId="06567A04" w14:textId="77777777" w:rsidR="008C4E9A" w:rsidRPr="00084DD2" w:rsidRDefault="008C4E9A" w:rsidP="008C4E9A">
            <w:pPr>
              <w:jc w:val="center"/>
              <w:rPr>
                <w:rFonts w:cs="Arial"/>
              </w:rPr>
            </w:pPr>
          </w:p>
          <w:p w14:paraId="23915BEF" w14:textId="259954C9" w:rsidR="007550FE" w:rsidRPr="00084DD2" w:rsidRDefault="00B23130" w:rsidP="008C4E9A">
            <w:pPr>
              <w:jc w:val="center"/>
              <w:rPr>
                <w:rFonts w:cs="Arial"/>
              </w:rPr>
            </w:pPr>
            <w:r w:rsidRPr="00084DD2">
              <w:rPr>
                <w:rFonts w:cs="Arial"/>
              </w:rPr>
              <w:t>2</w:t>
            </w:r>
            <w:r w:rsidR="00E7533C" w:rsidRPr="00084DD2">
              <w:rPr>
                <w:rFonts w:cs="Arial"/>
              </w:rPr>
              <w:t>:</w:t>
            </w:r>
            <w:r w:rsidRPr="00084DD2">
              <w:rPr>
                <w:rFonts w:cs="Arial"/>
              </w:rPr>
              <w:t>00</w:t>
            </w:r>
            <w:r w:rsidR="00E7533C" w:rsidRPr="00084DD2">
              <w:rPr>
                <w:rFonts w:cs="Arial"/>
              </w:rPr>
              <w:t xml:space="preserve"> pm – </w:t>
            </w:r>
            <w:r w:rsidRPr="00084DD2">
              <w:rPr>
                <w:rFonts w:cs="Arial"/>
              </w:rPr>
              <w:t>3:00</w:t>
            </w:r>
            <w:r w:rsidR="00E7533C" w:rsidRPr="00084DD2">
              <w:rPr>
                <w:rFonts w:cs="Arial"/>
              </w:rPr>
              <w:t xml:space="preserve"> pm</w:t>
            </w:r>
          </w:p>
          <w:p w14:paraId="06A40C69" w14:textId="0332EC40" w:rsidR="00994C49" w:rsidRPr="00084DD2" w:rsidRDefault="00994C49" w:rsidP="008C4E9A">
            <w:pPr>
              <w:rPr>
                <w:rFonts w:cs="Arial"/>
              </w:rPr>
            </w:pPr>
          </w:p>
        </w:tc>
        <w:tc>
          <w:tcPr>
            <w:tcW w:w="3597" w:type="dxa"/>
            <w:vAlign w:val="center"/>
          </w:tcPr>
          <w:p w14:paraId="5E7CD9C8" w14:textId="7EA5870F" w:rsidR="009D0D3D" w:rsidRPr="00084DD2" w:rsidRDefault="00372FEC" w:rsidP="0040740B">
            <w:pPr>
              <w:jc w:val="center"/>
              <w:rPr>
                <w:rFonts w:cs="Arial"/>
              </w:rPr>
            </w:pPr>
            <w:r w:rsidRPr="00372FEC">
              <w:rPr>
                <w:rFonts w:cs="Arial"/>
              </w:rPr>
              <w:t>Incorporating Blue Zone Concepts in Community Health Practice</w:t>
            </w:r>
          </w:p>
        </w:tc>
        <w:tc>
          <w:tcPr>
            <w:tcW w:w="3597" w:type="dxa"/>
            <w:vAlign w:val="center"/>
          </w:tcPr>
          <w:p w14:paraId="416C359B" w14:textId="77777777" w:rsidR="006C3739" w:rsidRPr="00084DD2" w:rsidRDefault="006C3739" w:rsidP="006C3739">
            <w:pPr>
              <w:jc w:val="center"/>
              <w:rPr>
                <w:rFonts w:cs="Arial"/>
              </w:rPr>
            </w:pPr>
            <w:r w:rsidRPr="00084DD2">
              <w:rPr>
                <w:rFonts w:cs="Arial"/>
              </w:rPr>
              <w:t>Vickie Harden, Ph.D.</w:t>
            </w:r>
          </w:p>
          <w:p w14:paraId="6F515F43" w14:textId="77777777" w:rsidR="006C3739" w:rsidRPr="00084DD2" w:rsidRDefault="006C3739" w:rsidP="006C3739">
            <w:pPr>
              <w:jc w:val="center"/>
              <w:rPr>
                <w:rFonts w:cs="Arial"/>
              </w:rPr>
            </w:pPr>
            <w:r w:rsidRPr="00084DD2">
              <w:rPr>
                <w:rFonts w:cs="Arial"/>
              </w:rPr>
              <w:t>Interim Chair, MSW Program Coordinator</w:t>
            </w:r>
          </w:p>
          <w:p w14:paraId="1FC07305" w14:textId="77777777" w:rsidR="006C3739" w:rsidRPr="00084DD2" w:rsidRDefault="006C3739" w:rsidP="006C3739">
            <w:pPr>
              <w:jc w:val="center"/>
              <w:rPr>
                <w:rFonts w:cs="Arial"/>
              </w:rPr>
            </w:pPr>
            <w:r w:rsidRPr="00084DD2">
              <w:rPr>
                <w:rFonts w:cs="Arial"/>
              </w:rPr>
              <w:t>Associate Professor</w:t>
            </w:r>
          </w:p>
          <w:p w14:paraId="107373A5" w14:textId="77777777" w:rsidR="00E7533C" w:rsidRDefault="00716AD8" w:rsidP="00716AD8">
            <w:pPr>
              <w:jc w:val="center"/>
              <w:rPr>
                <w:rFonts w:cs="Arial"/>
              </w:rPr>
            </w:pPr>
            <w:r>
              <w:rPr>
                <w:rFonts w:cs="Arial"/>
              </w:rPr>
              <w:t xml:space="preserve">MTSU </w:t>
            </w:r>
            <w:r w:rsidR="006C3739" w:rsidRPr="00084DD2">
              <w:rPr>
                <w:rFonts w:cs="Arial"/>
              </w:rPr>
              <w:t>Department of Social Work</w:t>
            </w:r>
          </w:p>
          <w:p w14:paraId="76BBABFD" w14:textId="4C8B1D53" w:rsidR="003B78EB" w:rsidRPr="00716AD8" w:rsidRDefault="003B78EB" w:rsidP="00716AD8">
            <w:pPr>
              <w:jc w:val="center"/>
              <w:rPr>
                <w:rFonts w:cs="Arial"/>
              </w:rPr>
            </w:pPr>
          </w:p>
        </w:tc>
      </w:tr>
      <w:tr w:rsidR="009F1AFA" w:rsidRPr="001F161E" w14:paraId="2F3CCC2F" w14:textId="77777777" w:rsidTr="008C4E9A">
        <w:tc>
          <w:tcPr>
            <w:tcW w:w="3596" w:type="dxa"/>
            <w:vAlign w:val="center"/>
          </w:tcPr>
          <w:p w14:paraId="78EF73DB" w14:textId="77777777" w:rsidR="008C4E9A" w:rsidRDefault="008C4E9A" w:rsidP="008C4E9A">
            <w:pPr>
              <w:jc w:val="center"/>
              <w:rPr>
                <w:rFonts w:cs="Arial"/>
              </w:rPr>
            </w:pPr>
          </w:p>
          <w:p w14:paraId="548D445F" w14:textId="39792E3C" w:rsidR="009F1AFA" w:rsidRDefault="009F1AFA" w:rsidP="008C4E9A">
            <w:pPr>
              <w:jc w:val="center"/>
              <w:rPr>
                <w:rFonts w:cs="Arial"/>
              </w:rPr>
            </w:pPr>
            <w:r>
              <w:rPr>
                <w:rFonts w:cs="Arial"/>
              </w:rPr>
              <w:t>3:00</w:t>
            </w:r>
            <w:r w:rsidRPr="001F161E">
              <w:rPr>
                <w:rFonts w:cs="Arial"/>
              </w:rPr>
              <w:t xml:space="preserve"> pm</w:t>
            </w:r>
            <w:r w:rsidR="00994C49">
              <w:rPr>
                <w:rFonts w:cs="Arial"/>
              </w:rPr>
              <w:t xml:space="preserve"> – </w:t>
            </w:r>
            <w:r w:rsidRPr="001F161E">
              <w:rPr>
                <w:rFonts w:cs="Arial"/>
              </w:rPr>
              <w:t>3:30 pm</w:t>
            </w:r>
          </w:p>
          <w:p w14:paraId="5A7A012E" w14:textId="2BFE99DA" w:rsidR="00994C49" w:rsidRPr="001F161E" w:rsidRDefault="00994C49" w:rsidP="008C4E9A">
            <w:pPr>
              <w:rPr>
                <w:rFonts w:cs="Arial"/>
              </w:rPr>
            </w:pPr>
          </w:p>
        </w:tc>
        <w:tc>
          <w:tcPr>
            <w:tcW w:w="3597" w:type="dxa"/>
            <w:vAlign w:val="center"/>
          </w:tcPr>
          <w:p w14:paraId="158C2B96" w14:textId="39AAB570" w:rsidR="009F1AFA" w:rsidRPr="001F161E" w:rsidRDefault="009F1AFA" w:rsidP="0040740B">
            <w:pPr>
              <w:jc w:val="center"/>
              <w:rPr>
                <w:rFonts w:cs="Arial"/>
              </w:rPr>
            </w:pPr>
            <w:r w:rsidRPr="001F161E">
              <w:rPr>
                <w:rFonts w:cs="Arial"/>
              </w:rPr>
              <w:t>Closing Remarks and Adjourn</w:t>
            </w:r>
          </w:p>
        </w:tc>
        <w:tc>
          <w:tcPr>
            <w:tcW w:w="3597" w:type="dxa"/>
            <w:vAlign w:val="center"/>
          </w:tcPr>
          <w:p w14:paraId="3D70E638" w14:textId="6E300C1B" w:rsidR="009F1AFA" w:rsidRPr="001F161E" w:rsidRDefault="009F1AFA" w:rsidP="0040740B">
            <w:pPr>
              <w:jc w:val="center"/>
              <w:rPr>
                <w:rFonts w:cs="Arial"/>
              </w:rPr>
            </w:pPr>
          </w:p>
        </w:tc>
      </w:tr>
    </w:tbl>
    <w:p w14:paraId="616DCC5A" w14:textId="0464B8D9" w:rsidR="003F59B3" w:rsidRDefault="003F59B3" w:rsidP="007550FE">
      <w:pPr>
        <w:spacing w:after="0"/>
        <w:jc w:val="center"/>
        <w:rPr>
          <w:rFonts w:cs="Arial"/>
        </w:rPr>
      </w:pPr>
    </w:p>
    <w:p w14:paraId="27141388" w14:textId="77777777" w:rsidR="003F59B3" w:rsidRDefault="003F59B3">
      <w:pPr>
        <w:rPr>
          <w:rFonts w:cs="Arial"/>
        </w:rPr>
      </w:pPr>
      <w:r>
        <w:rPr>
          <w:rFonts w:cs="Arial"/>
        </w:rPr>
        <w:br w:type="page"/>
      </w:r>
    </w:p>
    <w:p w14:paraId="606456D9" w14:textId="5082BBF5" w:rsidR="007550FE" w:rsidRPr="00A14098" w:rsidRDefault="003F59B3" w:rsidP="007550FE">
      <w:pPr>
        <w:spacing w:after="0"/>
        <w:jc w:val="center"/>
        <w:rPr>
          <w:rFonts w:cs="Arial"/>
          <w:b/>
          <w:bCs/>
        </w:rPr>
      </w:pPr>
      <w:r w:rsidRPr="00A14098">
        <w:rPr>
          <w:rFonts w:cs="Arial"/>
          <w:b/>
          <w:bCs/>
        </w:rPr>
        <w:lastRenderedPageBreak/>
        <w:t>Presenter Bios</w:t>
      </w:r>
      <w:r w:rsidR="00A14098" w:rsidRPr="00A14098">
        <w:rPr>
          <w:rFonts w:cs="Arial"/>
          <w:b/>
          <w:bCs/>
        </w:rPr>
        <w:t>/ Information</w:t>
      </w:r>
    </w:p>
    <w:p w14:paraId="1736D3A9" w14:textId="77777777" w:rsidR="00A14098" w:rsidRDefault="00A14098" w:rsidP="00A14098">
      <w:pPr>
        <w:spacing w:after="0"/>
        <w:rPr>
          <w:rFonts w:cs="Arial"/>
        </w:rPr>
      </w:pPr>
    </w:p>
    <w:p w14:paraId="0DA9DC0C" w14:textId="77777777" w:rsidR="003F59B3" w:rsidRDefault="003F59B3" w:rsidP="007550FE">
      <w:pPr>
        <w:spacing w:after="0"/>
        <w:jc w:val="center"/>
        <w:rPr>
          <w:rFonts w:cs="Arial"/>
        </w:rPr>
      </w:pPr>
    </w:p>
    <w:p w14:paraId="3C588B56" w14:textId="77777777" w:rsidR="00590678" w:rsidRDefault="00590678" w:rsidP="00590678">
      <w:pPr>
        <w:spacing w:after="0"/>
        <w:rPr>
          <w:rFonts w:cs="Arial"/>
          <w:b/>
          <w:bCs/>
        </w:rPr>
      </w:pPr>
      <w:r w:rsidRPr="00AB1265">
        <w:rPr>
          <w:rFonts w:cs="Arial"/>
          <w:b/>
          <w:bCs/>
        </w:rPr>
        <w:t>Dr. Elizabeth Q. Wright – Professor, MTSU Department of Criminal Justice Administration</w:t>
      </w:r>
    </w:p>
    <w:p w14:paraId="2BE63976" w14:textId="77777777" w:rsidR="00590678" w:rsidRPr="00CA5C5A" w:rsidRDefault="00590678" w:rsidP="00590678">
      <w:pPr>
        <w:pStyle w:val="ListParagraph"/>
        <w:numPr>
          <w:ilvl w:val="0"/>
          <w:numId w:val="8"/>
        </w:numPr>
        <w:spacing w:after="0"/>
        <w:rPr>
          <w:rFonts w:cs="Arial"/>
          <w:b/>
          <w:bCs/>
        </w:rPr>
      </w:pPr>
      <w:r>
        <w:rPr>
          <w:rFonts w:cs="Arial"/>
          <w:b/>
          <w:bCs/>
        </w:rPr>
        <w:t xml:space="preserve">Bio: </w:t>
      </w:r>
      <w:r w:rsidRPr="00CA5C5A">
        <w:rPr>
          <w:rFonts w:cs="Arial"/>
        </w:rPr>
        <w:t xml:space="preserve">Dr. Elizabeth Q. Wright is a Professor in the Department of Criminal Justice Administration at Middle Tennessee State University. She received both an M.A. (2000) and Ph.D. (2004) in Criminal Justice from Sam Houston State University and has been teaching criminal justice students in North Carolina and Tennessee for approximately 20 years. Prior to graduate school, she received </w:t>
      </w:r>
      <w:proofErr w:type="gramStart"/>
      <w:r w:rsidRPr="00CA5C5A">
        <w:rPr>
          <w:rFonts w:cs="Arial"/>
        </w:rPr>
        <w:t>Bachelor’s degrees in Psychology and Social</w:t>
      </w:r>
      <w:proofErr w:type="gramEnd"/>
      <w:r w:rsidRPr="00CA5C5A">
        <w:rPr>
          <w:rFonts w:cs="Arial"/>
        </w:rPr>
        <w:t xml:space="preserve"> Welfare, with a certificate in Criminal Justice, from the University of Wisconsin-Madison (1994) and started her professional life working as a Juvenile Corrections Liaison in Wisconsin. She served two years as a sexual assault volunteer victim advocate while attending UW-Madison and continued her volunteer work with sexual assault victims in North Carolina. She was a board member, including Secretary/Treasurer of the Board, for the Rape Crisis Volunteers of Cumberland County and currently serves as the Chair of the Board for the Doors of Hope program in Murfreesboro, TN – an organization that works with justice-involved women to both reduce recidivism and improve their quality of life through the treatment of substance abuse and mental health conditions. Her research and service are in the areas of violence against women, trauma and the justice involved, implementing trauma-informed care, and stress and resiliency building. In Spring 2025, the text “Resiliency and the Justice Professional: Preparing for the Job” – a comprehensive textbook for criminal justice students will be published, co-authored by Dr. Elizabeth Wright and Dr. Bethany </w:t>
      </w:r>
      <w:proofErr w:type="spellStart"/>
      <w:r w:rsidRPr="00CA5C5A">
        <w:rPr>
          <w:rFonts w:cs="Arial"/>
        </w:rPr>
        <w:t>Wrye</w:t>
      </w:r>
      <w:proofErr w:type="spellEnd"/>
      <w:r w:rsidRPr="00CA5C5A">
        <w:rPr>
          <w:rFonts w:cs="Arial"/>
        </w:rPr>
        <w:t>. This text introduces students to stress, trauma, the realities of criminal justice professions and multiple chapters devoted to teaching students about wellness, along with step-by-step guidance on how to develop and maintain wellness practices. It is the intent of the authors that students may develop strategies to assist them in identifying, recovering from, and preventing stressors in the multiple facets of their lives – personal, academic, and professional.</w:t>
      </w:r>
    </w:p>
    <w:p w14:paraId="3A3727D4" w14:textId="77777777" w:rsidR="00590678" w:rsidRDefault="00590678" w:rsidP="00590678">
      <w:pPr>
        <w:pStyle w:val="ListParagraph"/>
        <w:numPr>
          <w:ilvl w:val="0"/>
          <w:numId w:val="8"/>
        </w:numPr>
        <w:spacing w:after="0"/>
        <w:rPr>
          <w:rFonts w:cs="Arial"/>
          <w:b/>
          <w:bCs/>
        </w:rPr>
      </w:pPr>
      <w:r>
        <w:rPr>
          <w:rFonts w:cs="Arial"/>
          <w:b/>
          <w:bCs/>
        </w:rPr>
        <w:t>Learning Objectives: Trauma-Informed Workplaces</w:t>
      </w:r>
    </w:p>
    <w:p w14:paraId="70FFC030" w14:textId="77777777" w:rsidR="00590678" w:rsidRPr="0032393F" w:rsidRDefault="00590678" w:rsidP="00590678">
      <w:pPr>
        <w:pStyle w:val="ListParagraph"/>
        <w:numPr>
          <w:ilvl w:val="1"/>
          <w:numId w:val="9"/>
        </w:numPr>
        <w:spacing w:after="0"/>
        <w:rPr>
          <w:rFonts w:cs="Arial"/>
        </w:rPr>
      </w:pPr>
      <w:r w:rsidRPr="0032393F">
        <w:rPr>
          <w:rFonts w:cs="Arial"/>
        </w:rPr>
        <w:t>Describe the core principles of trauma-informed care</w:t>
      </w:r>
      <w:r>
        <w:rPr>
          <w:rFonts w:cs="Arial"/>
        </w:rPr>
        <w:t>.</w:t>
      </w:r>
    </w:p>
    <w:p w14:paraId="1E7CD8EA" w14:textId="77777777" w:rsidR="00590678" w:rsidRPr="0032393F" w:rsidRDefault="00590678" w:rsidP="00590678">
      <w:pPr>
        <w:pStyle w:val="ListParagraph"/>
        <w:numPr>
          <w:ilvl w:val="1"/>
          <w:numId w:val="9"/>
        </w:numPr>
        <w:spacing w:after="0"/>
        <w:rPr>
          <w:rFonts w:cs="Arial"/>
        </w:rPr>
      </w:pPr>
      <w:r w:rsidRPr="0032393F">
        <w:rPr>
          <w:rFonts w:cs="Arial"/>
        </w:rPr>
        <w:t>Develop 1-2 strategies to incorporate trauma-informed care into one’s practice</w:t>
      </w:r>
      <w:r>
        <w:rPr>
          <w:rFonts w:cs="Arial"/>
        </w:rPr>
        <w:t>.</w:t>
      </w:r>
    </w:p>
    <w:p w14:paraId="369A5D01" w14:textId="77777777" w:rsidR="00590678" w:rsidRPr="0032393F" w:rsidRDefault="00590678" w:rsidP="00590678">
      <w:pPr>
        <w:pStyle w:val="ListParagraph"/>
        <w:numPr>
          <w:ilvl w:val="1"/>
          <w:numId w:val="9"/>
        </w:numPr>
        <w:spacing w:after="0"/>
        <w:rPr>
          <w:rFonts w:cs="Arial"/>
        </w:rPr>
      </w:pPr>
      <w:r w:rsidRPr="0032393F">
        <w:rPr>
          <w:rFonts w:cs="Arial"/>
        </w:rPr>
        <w:t>Identify 1-2 reasonable and attainable strategies to develop a workplace into a trauma-informed workplace</w:t>
      </w:r>
      <w:r>
        <w:rPr>
          <w:rFonts w:cs="Arial"/>
        </w:rPr>
        <w:t>.</w:t>
      </w:r>
    </w:p>
    <w:p w14:paraId="0D6A26A0" w14:textId="77777777" w:rsidR="00590678" w:rsidRDefault="00590678" w:rsidP="003F59B3">
      <w:pPr>
        <w:spacing w:after="0"/>
        <w:rPr>
          <w:rFonts w:cs="Arial"/>
          <w:b/>
          <w:bCs/>
        </w:rPr>
      </w:pPr>
    </w:p>
    <w:p w14:paraId="5C905CDA" w14:textId="239E5D33" w:rsidR="003F59B3" w:rsidRDefault="00887FAC" w:rsidP="003F59B3">
      <w:pPr>
        <w:spacing w:after="0"/>
        <w:rPr>
          <w:rFonts w:cs="Arial"/>
          <w:b/>
          <w:bCs/>
        </w:rPr>
      </w:pPr>
      <w:r>
        <w:rPr>
          <w:rFonts w:cs="Arial"/>
          <w:b/>
          <w:bCs/>
        </w:rPr>
        <w:t xml:space="preserve">Dr. Sarah Harris, Registered Dietitian – </w:t>
      </w:r>
      <w:r w:rsidRPr="00887FAC">
        <w:rPr>
          <w:rFonts w:cs="Arial"/>
          <w:b/>
          <w:bCs/>
        </w:rPr>
        <w:t>MTSU Nutrition and Food Science Department</w:t>
      </w:r>
    </w:p>
    <w:p w14:paraId="0F8A9E0B" w14:textId="1D309296" w:rsidR="00F67D6D" w:rsidRPr="00F67D6D" w:rsidRDefault="003B50FE" w:rsidP="00F67D6D">
      <w:pPr>
        <w:numPr>
          <w:ilvl w:val="0"/>
          <w:numId w:val="2"/>
        </w:numPr>
        <w:spacing w:after="0"/>
        <w:rPr>
          <w:rFonts w:cs="Arial"/>
        </w:rPr>
      </w:pPr>
      <w:r w:rsidRPr="003B50FE">
        <w:rPr>
          <w:rFonts w:cs="Arial"/>
          <w:b/>
          <w:bCs/>
        </w:rPr>
        <w:t>Bio</w:t>
      </w:r>
      <w:r>
        <w:rPr>
          <w:rFonts w:cs="Arial"/>
        </w:rPr>
        <w:t xml:space="preserve">: </w:t>
      </w:r>
      <w:r w:rsidRPr="003B50FE">
        <w:rPr>
          <w:rFonts w:cs="Arial"/>
        </w:rPr>
        <w:t xml:space="preserve">Sarah is a Registered Dietitian and faculty member at MTSU in the Nutrition and Food Science Department. </w:t>
      </w:r>
      <w:r w:rsidR="001762BF" w:rsidRPr="001762BF">
        <w:rPr>
          <w:rFonts w:cs="Arial"/>
        </w:rPr>
        <w:t xml:space="preserve">She is set to graduate with her Ph.D. next month, and her dissertation research focused on food insecurity on the MTSU campus, specifically examining the impact of </w:t>
      </w:r>
      <w:proofErr w:type="gramStart"/>
      <w:r w:rsidR="001762BF" w:rsidRPr="001762BF">
        <w:rPr>
          <w:rFonts w:cs="Arial"/>
        </w:rPr>
        <w:t>SNAP on</w:t>
      </w:r>
      <w:proofErr w:type="gramEnd"/>
      <w:r w:rsidR="001762BF" w:rsidRPr="001762BF">
        <w:rPr>
          <w:rFonts w:cs="Arial"/>
        </w:rPr>
        <w:t xml:space="preserve"> students' food security levels.</w:t>
      </w:r>
      <w:r w:rsidR="004F11F8">
        <w:rPr>
          <w:rFonts w:cs="Arial"/>
        </w:rPr>
        <w:t xml:space="preserve"> Sarah’s presentation </w:t>
      </w:r>
      <w:r w:rsidR="0059713A" w:rsidRPr="0059713A">
        <w:rPr>
          <w:rFonts w:cs="Arial"/>
        </w:rPr>
        <w:t>highlights research conducted during the Fall semester at MTSU, focusing on the prevalence of food insecurity on campus. It explores the demographics of students most affected, SNAP enrollment statistics, and the impact of SNAP participation on students' food security levels. Additionally, the presentation will discuss strategies to increase SNAP enrollment among eligible students and include a call to action for everyone—students, faculty and staff, administration, alumni, and the broader community—to address food insecurity and support positive change.</w:t>
      </w:r>
    </w:p>
    <w:p w14:paraId="0C283D9C" w14:textId="3E06CF65" w:rsidR="0059713A" w:rsidRPr="0059713A" w:rsidRDefault="0059713A" w:rsidP="003B50FE">
      <w:pPr>
        <w:numPr>
          <w:ilvl w:val="0"/>
          <w:numId w:val="2"/>
        </w:numPr>
        <w:spacing w:after="0"/>
        <w:rPr>
          <w:rFonts w:cs="Arial"/>
        </w:rPr>
      </w:pPr>
      <w:r>
        <w:rPr>
          <w:rFonts w:cs="Arial"/>
          <w:b/>
          <w:bCs/>
        </w:rPr>
        <w:t>Learning Objectives:</w:t>
      </w:r>
      <w:r w:rsidR="00A43ABC">
        <w:rPr>
          <w:rFonts w:cs="Arial"/>
          <w:b/>
          <w:bCs/>
        </w:rPr>
        <w:t xml:space="preserve"> </w:t>
      </w:r>
      <w:r w:rsidR="00A43ABC" w:rsidRPr="00A43ABC">
        <w:rPr>
          <w:rFonts w:cs="Arial"/>
          <w:b/>
          <w:bCs/>
        </w:rPr>
        <w:t>College Food Insecurity: A Call to Action</w:t>
      </w:r>
    </w:p>
    <w:p w14:paraId="229B6515" w14:textId="6ED9F953" w:rsidR="00F67D6D" w:rsidRPr="00F67D6D" w:rsidRDefault="00F67D6D" w:rsidP="00A3219C">
      <w:pPr>
        <w:numPr>
          <w:ilvl w:val="1"/>
          <w:numId w:val="5"/>
        </w:numPr>
        <w:spacing w:after="0"/>
        <w:rPr>
          <w:rFonts w:cs="Arial"/>
        </w:rPr>
      </w:pPr>
      <w:r w:rsidRPr="00F67D6D">
        <w:rPr>
          <w:rFonts w:cs="Arial"/>
        </w:rPr>
        <w:t>Compare prevalence of food insecurity between college students and average Tennesseans.</w:t>
      </w:r>
    </w:p>
    <w:p w14:paraId="3E81A47B" w14:textId="216B5D78" w:rsidR="00F67D6D" w:rsidRPr="00F67D6D" w:rsidRDefault="00F67D6D" w:rsidP="00A3219C">
      <w:pPr>
        <w:numPr>
          <w:ilvl w:val="1"/>
          <w:numId w:val="5"/>
        </w:numPr>
        <w:spacing w:after="0"/>
        <w:rPr>
          <w:rFonts w:cs="Arial"/>
        </w:rPr>
      </w:pPr>
      <w:r w:rsidRPr="00F67D6D">
        <w:rPr>
          <w:rFonts w:cs="Arial"/>
        </w:rPr>
        <w:t>Examine barriers to SNAP participation for college students and the potential benefits of enrollment in the program.</w:t>
      </w:r>
    </w:p>
    <w:p w14:paraId="310522F3" w14:textId="52B2EF53" w:rsidR="0059713A" w:rsidRPr="003B50FE" w:rsidRDefault="00F67D6D" w:rsidP="00A3219C">
      <w:pPr>
        <w:numPr>
          <w:ilvl w:val="1"/>
          <w:numId w:val="5"/>
        </w:numPr>
        <w:spacing w:after="0"/>
        <w:rPr>
          <w:rFonts w:cs="Arial"/>
        </w:rPr>
      </w:pPr>
      <w:r w:rsidRPr="00F67D6D">
        <w:rPr>
          <w:rFonts w:cs="Arial"/>
        </w:rPr>
        <w:t>Apply knowledge of college food insecurity throughout one's personal and professional sphere of influence</w:t>
      </w:r>
    </w:p>
    <w:p w14:paraId="5BC08711" w14:textId="77777777" w:rsidR="00B314DF" w:rsidRDefault="00B314DF" w:rsidP="00B314DF">
      <w:pPr>
        <w:spacing w:after="0"/>
        <w:rPr>
          <w:rFonts w:cs="Arial"/>
          <w:b/>
          <w:bCs/>
        </w:rPr>
      </w:pPr>
    </w:p>
    <w:p w14:paraId="4FA3117A" w14:textId="77777777" w:rsidR="00590678" w:rsidRDefault="00590678" w:rsidP="00B314DF">
      <w:pPr>
        <w:spacing w:after="0"/>
        <w:rPr>
          <w:rFonts w:cs="Arial"/>
          <w:b/>
          <w:bCs/>
        </w:rPr>
      </w:pPr>
    </w:p>
    <w:p w14:paraId="2CFB3577" w14:textId="77777777" w:rsidR="00590678" w:rsidRDefault="00590678" w:rsidP="00B314DF">
      <w:pPr>
        <w:spacing w:after="0"/>
        <w:rPr>
          <w:rFonts w:cs="Arial"/>
          <w:b/>
          <w:bCs/>
        </w:rPr>
      </w:pPr>
    </w:p>
    <w:p w14:paraId="437F5DB7" w14:textId="3DE24844" w:rsidR="00887FAC" w:rsidRDefault="00B314DF" w:rsidP="00B314DF">
      <w:pPr>
        <w:spacing w:after="0"/>
        <w:rPr>
          <w:rFonts w:cs="Arial"/>
          <w:b/>
          <w:bCs/>
        </w:rPr>
      </w:pPr>
      <w:r w:rsidRPr="00B314DF">
        <w:rPr>
          <w:rFonts w:cs="Arial"/>
          <w:b/>
          <w:bCs/>
        </w:rPr>
        <w:lastRenderedPageBreak/>
        <w:t>Dr. Ralph Alvarado, Commissioner of Health – Tennessee Department of Health</w:t>
      </w:r>
    </w:p>
    <w:p w14:paraId="400EFD48" w14:textId="38A5D4A6" w:rsidR="00F50270" w:rsidRPr="00A43ABC" w:rsidRDefault="00F50270" w:rsidP="00F50270">
      <w:pPr>
        <w:pStyle w:val="ListParagraph"/>
        <w:numPr>
          <w:ilvl w:val="0"/>
          <w:numId w:val="3"/>
        </w:numPr>
        <w:spacing w:after="0"/>
        <w:rPr>
          <w:rFonts w:cs="Arial"/>
          <w:b/>
          <w:bCs/>
        </w:rPr>
      </w:pPr>
      <w:r>
        <w:rPr>
          <w:rFonts w:cs="Arial"/>
          <w:b/>
          <w:bCs/>
        </w:rPr>
        <w:t xml:space="preserve">Bio: </w:t>
      </w:r>
      <w:r w:rsidR="00706419">
        <w:t xml:space="preserve">Ralph Alvarado, MD, FACP, joined Tennessee Gov. Bill Lee’s cabinet in January 2023 as the 15th commissioner of the Tennessee Department of Health. Dr. Alvarado has spent a decade in public service and in 2014 was the first Hispanic member elected to the Kentucky General Assembly where he represented Kentucky’s 28th Senate district. During his service in the Kentucky Senate, Dr. Alvarado was Chairman of the Senate Health &amp; Welfare Committee, led the Substance Abuse Recovery Task Force, and was a member of several committees, including the Medicaid Oversight Subcommittee, Banking &amp; Insurance committee, and State &amp; Local Government committee. Dr. Alvarado has been a practicing physician for the past 29 years, working in a variety of clinical settings, as a </w:t>
      </w:r>
      <w:proofErr w:type="gramStart"/>
      <w:r w:rsidR="00706419">
        <w:t>small town</w:t>
      </w:r>
      <w:proofErr w:type="gramEnd"/>
      <w:r w:rsidR="00706419">
        <w:t xml:space="preserve"> primary care physician, a hospitalist and continues to see patients at skilled nursing facilities. Dr. Alvarado has served as medical director for Medicare health plan operators </w:t>
      </w:r>
      <w:proofErr w:type="spellStart"/>
      <w:r w:rsidR="00706419">
        <w:t>Stableview</w:t>
      </w:r>
      <w:proofErr w:type="spellEnd"/>
      <w:r w:rsidR="00706419">
        <w:t xml:space="preserve"> Health and Signature Advantage, in Lexington, Ky.; as medical director and finance chairman for Kentucky One Health Medical Group, in Louisville, Ky.; and, as vicechairman of the board of an accountable care organization, Quality Independent Physicians, also in Louisville. From 2009 to 2011, Dr. Alvarado was chief and medical staff president at St. Joseph’s Hospital in Lexington, Ky., and was elected as the physician representative to the hospital’s board in 2010, serving until 2012. Dr. Alvarado earned a Bachelor of Science in Biology from Loma Linda University, Loma Linda, Calif., in 1990, where he went on to receive his Doctorate in Medicine in 1994. Dr. Alvarado completed his medical residency in Internal Medicine and Pediatrics at the University of Kentucky in 1998. Dr. Alvarado and his wife of 30 years, Dawn, have two adult children.</w:t>
      </w:r>
    </w:p>
    <w:p w14:paraId="6CD59DC8" w14:textId="57ADB508" w:rsidR="00A43ABC" w:rsidRPr="004D7EC1" w:rsidRDefault="00A43ABC" w:rsidP="004D7EC1">
      <w:pPr>
        <w:pStyle w:val="ListParagraph"/>
        <w:numPr>
          <w:ilvl w:val="0"/>
          <w:numId w:val="3"/>
        </w:numPr>
        <w:rPr>
          <w:rFonts w:cs="Arial"/>
          <w:b/>
          <w:bCs/>
        </w:rPr>
      </w:pPr>
      <w:r w:rsidRPr="004D7EC1">
        <w:rPr>
          <w:rFonts w:cs="Arial"/>
          <w:b/>
          <w:bCs/>
        </w:rPr>
        <w:t xml:space="preserve">Learning Objectives: </w:t>
      </w:r>
      <w:r w:rsidR="0035709F" w:rsidRPr="004D7EC1">
        <w:rPr>
          <w:rFonts w:cs="Arial"/>
          <w:b/>
          <w:bCs/>
        </w:rPr>
        <w:t>Tennessee's Public Health in 2025: Rebuilding Trust through Local Engagement</w:t>
      </w:r>
    </w:p>
    <w:p w14:paraId="4229EACE" w14:textId="6BB22558" w:rsidR="00A3219C" w:rsidRPr="00A3219C" w:rsidRDefault="00A3219C" w:rsidP="00A3219C">
      <w:pPr>
        <w:pStyle w:val="ListParagraph"/>
        <w:numPr>
          <w:ilvl w:val="1"/>
          <w:numId w:val="4"/>
        </w:numPr>
        <w:spacing w:after="0"/>
        <w:rPr>
          <w:rFonts w:cs="Arial"/>
        </w:rPr>
      </w:pPr>
      <w:r w:rsidRPr="00A3219C">
        <w:rPr>
          <w:rFonts w:cs="Arial"/>
        </w:rPr>
        <w:t>Participants should understand the governing structure of the Tennessee Department of Health, as well as the</w:t>
      </w:r>
    </w:p>
    <w:p w14:paraId="5D21BEDF" w14:textId="77777777" w:rsidR="00A3219C" w:rsidRPr="00A3219C" w:rsidRDefault="00A3219C" w:rsidP="00A3219C">
      <w:pPr>
        <w:pStyle w:val="ListParagraph"/>
        <w:numPr>
          <w:ilvl w:val="1"/>
          <w:numId w:val="4"/>
        </w:numPr>
        <w:spacing w:after="0"/>
        <w:rPr>
          <w:rFonts w:cs="Arial"/>
        </w:rPr>
      </w:pPr>
      <w:r w:rsidRPr="00A3219C">
        <w:rPr>
          <w:rFonts w:cs="Arial"/>
        </w:rPr>
        <w:t>mission, vision, and values</w:t>
      </w:r>
    </w:p>
    <w:p w14:paraId="72A44946" w14:textId="33B96DB2" w:rsidR="00A3219C" w:rsidRPr="00A3219C" w:rsidRDefault="00A3219C" w:rsidP="00A3219C">
      <w:pPr>
        <w:pStyle w:val="ListParagraph"/>
        <w:numPr>
          <w:ilvl w:val="1"/>
          <w:numId w:val="4"/>
        </w:numPr>
        <w:spacing w:after="0"/>
        <w:rPr>
          <w:rFonts w:cs="Arial"/>
        </w:rPr>
      </w:pPr>
      <w:r w:rsidRPr="00A3219C">
        <w:rPr>
          <w:rFonts w:cs="Arial"/>
        </w:rPr>
        <w:t xml:space="preserve">Participants should better understand the state of public health in the </w:t>
      </w:r>
      <w:proofErr w:type="spellStart"/>
      <w:r w:rsidRPr="00A3219C">
        <w:rPr>
          <w:rFonts w:cs="Arial"/>
        </w:rPr>
        <w:t>UNited</w:t>
      </w:r>
      <w:proofErr w:type="spellEnd"/>
      <w:r w:rsidRPr="00A3219C">
        <w:rPr>
          <w:rFonts w:cs="Arial"/>
        </w:rPr>
        <w:t xml:space="preserve"> States and Tennessee, as well as basic foundations for why TDH is working to advance prevention and improving access for low-income, minority, under-served, and rural populations across the state</w:t>
      </w:r>
    </w:p>
    <w:p w14:paraId="239C0196" w14:textId="0D9FC689" w:rsidR="00A3219C" w:rsidRPr="00A3219C" w:rsidRDefault="00A3219C" w:rsidP="00A3219C">
      <w:pPr>
        <w:pStyle w:val="ListParagraph"/>
        <w:numPr>
          <w:ilvl w:val="1"/>
          <w:numId w:val="4"/>
        </w:numPr>
        <w:spacing w:after="0"/>
        <w:rPr>
          <w:rFonts w:cs="Arial"/>
        </w:rPr>
      </w:pPr>
      <w:r w:rsidRPr="00A3219C">
        <w:rPr>
          <w:rFonts w:cs="Arial"/>
        </w:rPr>
        <w:t>Participants should better understand the greatest threats and opportunities to public health in Tennessee, including poor health at baseline, Vaccine Hesitancy, and the negative impacts of isolation.</w:t>
      </w:r>
    </w:p>
    <w:p w14:paraId="6467265C" w14:textId="4D90C0A9" w:rsidR="00A3219C" w:rsidRDefault="00A3219C" w:rsidP="00A3219C">
      <w:pPr>
        <w:pStyle w:val="ListParagraph"/>
        <w:numPr>
          <w:ilvl w:val="1"/>
          <w:numId w:val="4"/>
        </w:numPr>
        <w:spacing w:after="0"/>
        <w:rPr>
          <w:rFonts w:cs="Arial"/>
          <w:b/>
          <w:bCs/>
        </w:rPr>
      </w:pPr>
      <w:r w:rsidRPr="00A3219C">
        <w:rPr>
          <w:rFonts w:cs="Arial"/>
        </w:rPr>
        <w:t xml:space="preserve">Participants should better understand how to plug into their County Health Council, their faith community, and other local networks while feeling empowered to engage </w:t>
      </w:r>
      <w:proofErr w:type="gramStart"/>
      <w:r w:rsidRPr="00A3219C">
        <w:rPr>
          <w:rFonts w:cs="Arial"/>
        </w:rPr>
        <w:t>policy-makers</w:t>
      </w:r>
      <w:proofErr w:type="gramEnd"/>
      <w:r w:rsidRPr="00A3219C">
        <w:rPr>
          <w:rFonts w:cs="Arial"/>
        </w:rPr>
        <w:t xml:space="preserve"> in decisions impacting public health</w:t>
      </w:r>
      <w:r w:rsidRPr="00A3219C">
        <w:rPr>
          <w:rFonts w:cs="Arial"/>
          <w:b/>
          <w:bCs/>
        </w:rPr>
        <w:t>.</w:t>
      </w:r>
    </w:p>
    <w:p w14:paraId="477A8909" w14:textId="77777777" w:rsidR="00846E1D" w:rsidRDefault="00846E1D" w:rsidP="00DE4058">
      <w:pPr>
        <w:spacing w:after="0"/>
        <w:rPr>
          <w:rFonts w:cs="Arial"/>
          <w:b/>
          <w:bCs/>
        </w:rPr>
      </w:pPr>
    </w:p>
    <w:p w14:paraId="45984137" w14:textId="093B6ABD" w:rsidR="00DE4058" w:rsidRDefault="00212843" w:rsidP="00DE4058">
      <w:pPr>
        <w:spacing w:after="0"/>
        <w:rPr>
          <w:rFonts w:cs="Arial"/>
          <w:b/>
          <w:bCs/>
        </w:rPr>
      </w:pPr>
      <w:r w:rsidRPr="00212843">
        <w:rPr>
          <w:rFonts w:cs="Arial"/>
          <w:b/>
          <w:bCs/>
        </w:rPr>
        <w:t>Brandon Grubbs, PhD, ACSM-EP, BCMAS</w:t>
      </w:r>
      <w:r w:rsidR="006D22FC">
        <w:rPr>
          <w:rFonts w:cs="Arial"/>
          <w:b/>
          <w:bCs/>
        </w:rPr>
        <w:t xml:space="preserve"> — </w:t>
      </w:r>
      <w:proofErr w:type="gramStart"/>
      <w:r w:rsidR="006D22FC">
        <w:rPr>
          <w:rFonts w:cs="Arial"/>
          <w:b/>
          <w:bCs/>
        </w:rPr>
        <w:t>Associate  Professor</w:t>
      </w:r>
      <w:proofErr w:type="gramEnd"/>
      <w:r w:rsidR="006D22FC">
        <w:rPr>
          <w:rFonts w:cs="Arial"/>
          <w:b/>
          <w:bCs/>
        </w:rPr>
        <w:t xml:space="preserve">, </w:t>
      </w:r>
      <w:r w:rsidR="00DE4058">
        <w:rPr>
          <w:rFonts w:cs="Arial"/>
          <w:b/>
          <w:bCs/>
        </w:rPr>
        <w:t xml:space="preserve">MTSU </w:t>
      </w:r>
      <w:r w:rsidR="00DE4058" w:rsidRPr="00DE4058">
        <w:rPr>
          <w:rFonts w:cs="Arial"/>
          <w:b/>
          <w:bCs/>
        </w:rPr>
        <w:t>Department of Health and Human Performance</w:t>
      </w:r>
    </w:p>
    <w:p w14:paraId="349F464A" w14:textId="0C6B45B2" w:rsidR="00DE4058" w:rsidRPr="00846E1D" w:rsidRDefault="00DE4058" w:rsidP="00DE4058">
      <w:pPr>
        <w:pStyle w:val="ListParagraph"/>
        <w:numPr>
          <w:ilvl w:val="0"/>
          <w:numId w:val="10"/>
        </w:numPr>
        <w:spacing w:after="0"/>
        <w:rPr>
          <w:rFonts w:cs="Arial"/>
          <w:b/>
          <w:bCs/>
        </w:rPr>
      </w:pPr>
      <w:r>
        <w:rPr>
          <w:rFonts w:cs="Arial"/>
          <w:b/>
          <w:bCs/>
        </w:rPr>
        <w:t>Bio:</w:t>
      </w:r>
      <w:r w:rsidR="00E4729A" w:rsidRPr="00E4729A">
        <w:t xml:space="preserve"> </w:t>
      </w:r>
      <w:r w:rsidR="00E4729A" w:rsidRPr="00E4729A">
        <w:rPr>
          <w:rFonts w:cs="Arial"/>
        </w:rPr>
        <w:t>Dr. Brandon Grubbs is an Associate Professor of Exercise Science at Middle Tennessee State University. He is a certified exercise physiologist from the American College of Sports Medicine and board certified in medical affairs from the Accreditation Council for Medical Affairs. He earned his doctoral degree from Florida State University with training in exercise physiology, focusing on aging and physical function. His research centers on improving physical function and overall health in older adults and clinical populations through targeted exercise interventions, particularly in frail populations. He is also the co-founder and co-leader of the Positive Aging Consortium, a multidisciplinary initiative dedicated to advancing research, education, and community engagement to support healthy aging.</w:t>
      </w:r>
    </w:p>
    <w:p w14:paraId="4CC3DC63" w14:textId="156EF51E" w:rsidR="00846E1D" w:rsidRDefault="00846E1D" w:rsidP="00DE4058">
      <w:pPr>
        <w:pStyle w:val="ListParagraph"/>
        <w:numPr>
          <w:ilvl w:val="0"/>
          <w:numId w:val="10"/>
        </w:numPr>
        <w:spacing w:after="0"/>
        <w:rPr>
          <w:rFonts w:cs="Arial"/>
          <w:b/>
          <w:bCs/>
        </w:rPr>
      </w:pPr>
      <w:r w:rsidRPr="00846E1D">
        <w:rPr>
          <w:rFonts w:cs="Arial"/>
          <w:b/>
          <w:bCs/>
        </w:rPr>
        <w:t xml:space="preserve">Presentation summary: </w:t>
      </w:r>
      <w:r w:rsidRPr="00846E1D">
        <w:rPr>
          <w:rFonts w:cs="Arial"/>
        </w:rPr>
        <w:t>This presentation will explore healthy aging, the growing investment in healthy aging research by organizations, local programs and initiatives that support healthy aging, and emerging aging therapies and trends, offering insights for public health initiatives.</w:t>
      </w:r>
    </w:p>
    <w:p w14:paraId="168049DA" w14:textId="32C4BAA0" w:rsidR="00397EA2" w:rsidRPr="00846E1D" w:rsidRDefault="00DE4058" w:rsidP="00846E1D">
      <w:pPr>
        <w:pStyle w:val="ListParagraph"/>
        <w:numPr>
          <w:ilvl w:val="0"/>
          <w:numId w:val="10"/>
        </w:numPr>
        <w:spacing w:after="0"/>
        <w:rPr>
          <w:rFonts w:cs="Arial"/>
          <w:b/>
          <w:bCs/>
        </w:rPr>
      </w:pPr>
      <w:r>
        <w:rPr>
          <w:rFonts w:cs="Arial"/>
          <w:b/>
          <w:bCs/>
        </w:rPr>
        <w:t xml:space="preserve">Learning Objectives: </w:t>
      </w:r>
      <w:r w:rsidR="00397EA2">
        <w:rPr>
          <w:rFonts w:cs="Arial"/>
          <w:b/>
          <w:bCs/>
        </w:rPr>
        <w:t xml:space="preserve">Healthy Aging </w:t>
      </w:r>
    </w:p>
    <w:p w14:paraId="529DFC3F" w14:textId="3EA62410" w:rsidR="00397EA2" w:rsidRPr="00397EA2" w:rsidRDefault="00397EA2" w:rsidP="00397EA2">
      <w:pPr>
        <w:pStyle w:val="ListParagraph"/>
        <w:numPr>
          <w:ilvl w:val="1"/>
          <w:numId w:val="10"/>
        </w:numPr>
        <w:rPr>
          <w:rFonts w:cs="Arial"/>
        </w:rPr>
      </w:pPr>
      <w:r w:rsidRPr="00397EA2">
        <w:rPr>
          <w:rFonts w:cs="Arial"/>
        </w:rPr>
        <w:t xml:space="preserve"> Define healthy aging and discuss its significance in public health and research.</w:t>
      </w:r>
    </w:p>
    <w:p w14:paraId="11E2E4BE" w14:textId="3D893AF5" w:rsidR="00397EA2" w:rsidRPr="00397EA2" w:rsidRDefault="00397EA2" w:rsidP="00397EA2">
      <w:pPr>
        <w:pStyle w:val="ListParagraph"/>
        <w:numPr>
          <w:ilvl w:val="1"/>
          <w:numId w:val="10"/>
        </w:numPr>
        <w:rPr>
          <w:rFonts w:cs="Arial"/>
        </w:rPr>
      </w:pPr>
      <w:r w:rsidRPr="00397EA2">
        <w:rPr>
          <w:rFonts w:cs="Arial"/>
        </w:rPr>
        <w:t>Identify key organizations investing in aging research </w:t>
      </w:r>
    </w:p>
    <w:p w14:paraId="60AB0439" w14:textId="46301A37" w:rsidR="00397EA2" w:rsidRPr="00846E1D" w:rsidRDefault="00397EA2" w:rsidP="00397EA2">
      <w:pPr>
        <w:pStyle w:val="ListParagraph"/>
        <w:numPr>
          <w:ilvl w:val="1"/>
          <w:numId w:val="10"/>
        </w:numPr>
        <w:spacing w:after="0"/>
        <w:rPr>
          <w:rFonts w:cs="Arial"/>
        </w:rPr>
      </w:pPr>
      <w:r w:rsidRPr="00846E1D">
        <w:rPr>
          <w:rFonts w:cs="Arial"/>
        </w:rPr>
        <w:lastRenderedPageBreak/>
        <w:t>Explore emerging trends and interventions in healthy aging, including pharmacological and exercise-based approaches, and their implications for public health practice.</w:t>
      </w:r>
    </w:p>
    <w:p w14:paraId="01DC48C1" w14:textId="7D0AB6EA" w:rsidR="00212843" w:rsidRDefault="00212843" w:rsidP="00AB4CA8">
      <w:pPr>
        <w:spacing w:after="0"/>
        <w:rPr>
          <w:rFonts w:cs="Arial"/>
          <w:b/>
          <w:bCs/>
        </w:rPr>
      </w:pPr>
    </w:p>
    <w:p w14:paraId="31779A46" w14:textId="77777777" w:rsidR="00212843" w:rsidRDefault="00212843" w:rsidP="00AB4CA8">
      <w:pPr>
        <w:spacing w:after="0"/>
        <w:rPr>
          <w:rFonts w:cs="Arial"/>
          <w:b/>
          <w:bCs/>
        </w:rPr>
      </w:pPr>
    </w:p>
    <w:p w14:paraId="11D47C33" w14:textId="3C3EEB20" w:rsidR="00AB4CA8" w:rsidRPr="00AB4CA8" w:rsidRDefault="00AB4CA8" w:rsidP="00AB4CA8">
      <w:pPr>
        <w:spacing w:after="0"/>
        <w:rPr>
          <w:rFonts w:cs="Arial"/>
          <w:b/>
          <w:bCs/>
        </w:rPr>
      </w:pPr>
      <w:r w:rsidRPr="00AB4CA8">
        <w:rPr>
          <w:rFonts w:cs="Arial"/>
          <w:b/>
          <w:bCs/>
        </w:rPr>
        <w:t>Vickie Harden, Ph.D.</w:t>
      </w:r>
      <w:r w:rsidR="00AB38AE">
        <w:rPr>
          <w:rFonts w:cs="Arial"/>
          <w:b/>
          <w:bCs/>
        </w:rPr>
        <w:t xml:space="preserve"> – MTSU </w:t>
      </w:r>
      <w:r w:rsidR="00AB38AE" w:rsidRPr="00AB38AE">
        <w:rPr>
          <w:rFonts w:cs="Arial"/>
          <w:b/>
          <w:bCs/>
        </w:rPr>
        <w:t>Interim Chair and Associate Professor in the Department of Social Wor</w:t>
      </w:r>
      <w:r w:rsidR="00AB38AE">
        <w:rPr>
          <w:rFonts w:cs="Arial"/>
          <w:b/>
          <w:bCs/>
        </w:rPr>
        <w:t>k</w:t>
      </w:r>
    </w:p>
    <w:p w14:paraId="037B7D76" w14:textId="7A1D1281" w:rsidR="00C754D5" w:rsidRPr="00C754D5" w:rsidRDefault="00AB38AE" w:rsidP="00C754D5">
      <w:pPr>
        <w:pStyle w:val="ListParagraph"/>
        <w:numPr>
          <w:ilvl w:val="0"/>
          <w:numId w:val="6"/>
        </w:numPr>
        <w:spacing w:after="0"/>
        <w:rPr>
          <w:rFonts w:cs="Arial"/>
        </w:rPr>
      </w:pPr>
      <w:r>
        <w:rPr>
          <w:rFonts w:cs="Arial"/>
          <w:b/>
          <w:bCs/>
        </w:rPr>
        <w:t xml:space="preserve">Bio: </w:t>
      </w:r>
      <w:r w:rsidR="00AB4CA8" w:rsidRPr="00AB38AE">
        <w:rPr>
          <w:rFonts w:cs="Arial"/>
        </w:rPr>
        <w:t>Dr. Vickie Harden is Interim Chair and Associate Professor in the Department of Social Work at Middle Tennessee State University. She is the coordinator of the MSW program. She holds a Master of Science in Social Work from the University of Tennessee and a Ph.D. in Health and Human Performance from MTSU. She has over 30 years of experience in social work practice, primarily working with children and families who have experienced trauma and abuse. Her community-based research encompasses addressing health disparities and improving access to health care in rural communities.</w:t>
      </w:r>
    </w:p>
    <w:p w14:paraId="64C223A7" w14:textId="68BC1FB3" w:rsidR="00E538C4" w:rsidRDefault="003B78EB" w:rsidP="00C754D5">
      <w:pPr>
        <w:pStyle w:val="ListParagraph"/>
        <w:numPr>
          <w:ilvl w:val="0"/>
          <w:numId w:val="8"/>
        </w:numPr>
        <w:spacing w:after="0"/>
        <w:rPr>
          <w:rFonts w:cs="Arial"/>
        </w:rPr>
      </w:pPr>
      <w:r w:rsidRPr="003B78EB">
        <w:rPr>
          <w:rFonts w:cs="Arial"/>
          <w:b/>
          <w:bCs/>
        </w:rPr>
        <w:t>Presentation Summary:</w:t>
      </w:r>
      <w:r>
        <w:rPr>
          <w:rFonts w:cs="Arial"/>
        </w:rPr>
        <w:t xml:space="preserve"> </w:t>
      </w:r>
      <w:r w:rsidR="00372FEC" w:rsidRPr="00C754D5">
        <w:rPr>
          <w:rFonts w:cs="Arial"/>
        </w:rPr>
        <w:t>This session explores ways in which practitioners in health-related fields can include blue zones concepts into their interventions with clients, particularly older adults. The blue zones research provides a culturally relevant framework by which to incorporate interventions. Coupled with a strength-based perspective, the model provides a multi-faceted, culturally responsive orientation from which to view the lives of older adults and the ageing process.</w:t>
      </w:r>
    </w:p>
    <w:p w14:paraId="190E2472" w14:textId="77777777" w:rsidR="003B78EB" w:rsidRPr="00C754D5" w:rsidRDefault="003B78EB" w:rsidP="003B78EB">
      <w:pPr>
        <w:pStyle w:val="ListParagraph"/>
        <w:numPr>
          <w:ilvl w:val="0"/>
          <w:numId w:val="6"/>
        </w:numPr>
        <w:spacing w:after="0"/>
        <w:rPr>
          <w:rFonts w:cs="Arial"/>
          <w:b/>
          <w:bCs/>
        </w:rPr>
      </w:pPr>
      <w:r>
        <w:rPr>
          <w:rFonts w:cs="Arial"/>
          <w:b/>
          <w:bCs/>
        </w:rPr>
        <w:t>Learning Objectives:</w:t>
      </w:r>
      <w:r w:rsidRPr="00C754D5">
        <w:rPr>
          <w:rFonts w:cs="Arial"/>
        </w:rPr>
        <w:t xml:space="preserve"> </w:t>
      </w:r>
      <w:r w:rsidRPr="00C754D5">
        <w:rPr>
          <w:rFonts w:cs="Arial"/>
          <w:b/>
          <w:bCs/>
        </w:rPr>
        <w:t>Incorporating Blue Zone Concepts in Community Health Practice</w:t>
      </w:r>
    </w:p>
    <w:p w14:paraId="4E98F863" w14:textId="77777777" w:rsidR="003B78EB" w:rsidRPr="00372FEC" w:rsidRDefault="003B78EB" w:rsidP="003B78EB">
      <w:pPr>
        <w:pStyle w:val="ListParagraph"/>
        <w:numPr>
          <w:ilvl w:val="1"/>
          <w:numId w:val="7"/>
        </w:numPr>
        <w:spacing w:after="0"/>
        <w:rPr>
          <w:rFonts w:cs="Arial"/>
        </w:rPr>
      </w:pPr>
      <w:r w:rsidRPr="00372FEC">
        <w:rPr>
          <w:rFonts w:cs="Arial"/>
        </w:rPr>
        <w:t>Explore the common threads of healthy living found in blue zone regions.</w:t>
      </w:r>
    </w:p>
    <w:p w14:paraId="5D7DD909" w14:textId="77777777" w:rsidR="003B78EB" w:rsidRPr="00372FEC" w:rsidRDefault="003B78EB" w:rsidP="003B78EB">
      <w:pPr>
        <w:pStyle w:val="ListParagraph"/>
        <w:numPr>
          <w:ilvl w:val="1"/>
          <w:numId w:val="7"/>
        </w:numPr>
        <w:spacing w:after="0"/>
        <w:rPr>
          <w:rFonts w:cs="Arial"/>
        </w:rPr>
      </w:pPr>
      <w:r w:rsidRPr="00372FEC">
        <w:rPr>
          <w:rFonts w:cs="Arial"/>
        </w:rPr>
        <w:t>Connect the nine primary areas leading to longer and healthier lives to practice settings.</w:t>
      </w:r>
    </w:p>
    <w:p w14:paraId="15F953BD" w14:textId="1007322A" w:rsidR="003B78EB" w:rsidRPr="006303A3" w:rsidRDefault="003B78EB" w:rsidP="006303A3">
      <w:pPr>
        <w:pStyle w:val="ListParagraph"/>
        <w:numPr>
          <w:ilvl w:val="1"/>
          <w:numId w:val="7"/>
        </w:numPr>
        <w:spacing w:after="0"/>
        <w:rPr>
          <w:rFonts w:cs="Arial"/>
        </w:rPr>
      </w:pPr>
      <w:r w:rsidRPr="00372FEC">
        <w:rPr>
          <w:rFonts w:cs="Arial"/>
        </w:rPr>
        <w:t>Incorporate the blue zones concepts into interventions using your community’s resources.</w:t>
      </w:r>
    </w:p>
    <w:p w14:paraId="74F9DB75" w14:textId="77777777" w:rsidR="00E00DCA" w:rsidRDefault="00E00DCA" w:rsidP="00E00DCA">
      <w:pPr>
        <w:spacing w:after="0"/>
        <w:rPr>
          <w:rFonts w:cs="Arial"/>
        </w:rPr>
      </w:pPr>
    </w:p>
    <w:sectPr w:rsidR="00E00DCA" w:rsidSect="00351C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9ED"/>
    <w:multiLevelType w:val="multilevel"/>
    <w:tmpl w:val="FE6E7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B55E4"/>
    <w:multiLevelType w:val="hybridMultilevel"/>
    <w:tmpl w:val="9850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4321A"/>
    <w:multiLevelType w:val="hybridMultilevel"/>
    <w:tmpl w:val="931C1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22321"/>
    <w:multiLevelType w:val="hybridMultilevel"/>
    <w:tmpl w:val="2BE2E06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304D30"/>
    <w:multiLevelType w:val="multilevel"/>
    <w:tmpl w:val="DC4C0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1C7FA9"/>
    <w:multiLevelType w:val="hybridMultilevel"/>
    <w:tmpl w:val="726AD9B0"/>
    <w:lvl w:ilvl="0" w:tplc="04090001">
      <w:start w:val="1"/>
      <w:numFmt w:val="bullet"/>
      <w:lvlText w:val=""/>
      <w:lvlJc w:val="left"/>
      <w:pPr>
        <w:ind w:left="720" w:hanging="360"/>
      </w:pPr>
      <w:rPr>
        <w:rFonts w:ascii="Symbol" w:hAnsi="Symbol" w:hint="default"/>
      </w:rPr>
    </w:lvl>
    <w:lvl w:ilvl="1" w:tplc="F35E0E2A">
      <w:start w:val="1"/>
      <w:numFmt w:val="decimal"/>
      <w:lvlText w:val="%2."/>
      <w:lvlJc w:val="left"/>
      <w:pPr>
        <w:ind w:left="1440" w:hanging="360"/>
      </w:pPr>
      <w:rPr>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305FE"/>
    <w:multiLevelType w:val="hybridMultilevel"/>
    <w:tmpl w:val="C04A6E4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1D072B"/>
    <w:multiLevelType w:val="multilevel"/>
    <w:tmpl w:val="4F88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42574"/>
    <w:multiLevelType w:val="hybridMultilevel"/>
    <w:tmpl w:val="5D562D96"/>
    <w:lvl w:ilvl="0" w:tplc="FFFFFFFF">
      <w:start w:val="1"/>
      <w:numFmt w:val="bullet"/>
      <w:lvlText w:val=""/>
      <w:lvlJc w:val="left"/>
      <w:pPr>
        <w:ind w:left="720" w:hanging="360"/>
      </w:pPr>
      <w:rPr>
        <w:rFonts w:ascii="Symbol" w:hAnsi="Symbol" w:hint="default"/>
      </w:rPr>
    </w:lvl>
    <w:lvl w:ilvl="1" w:tplc="32E25AD4">
      <w:start w:val="1"/>
      <w:numFmt w:val="decimal"/>
      <w:lvlText w:val="%2."/>
      <w:lvlJc w:val="left"/>
      <w:pPr>
        <w:ind w:left="1440" w:hanging="360"/>
      </w:pPr>
      <w:rPr>
        <w:b w:val="0"/>
        <w:b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B02DE2"/>
    <w:multiLevelType w:val="hybridMultilevel"/>
    <w:tmpl w:val="63089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060142">
    <w:abstractNumId w:val="7"/>
  </w:num>
  <w:num w:numId="2" w16cid:durableId="2045211866">
    <w:abstractNumId w:val="0"/>
  </w:num>
  <w:num w:numId="3" w16cid:durableId="1412317624">
    <w:abstractNumId w:val="9"/>
  </w:num>
  <w:num w:numId="4" w16cid:durableId="473109917">
    <w:abstractNumId w:val="8"/>
  </w:num>
  <w:num w:numId="5" w16cid:durableId="1977487022">
    <w:abstractNumId w:val="4"/>
  </w:num>
  <w:num w:numId="6" w16cid:durableId="1868717066">
    <w:abstractNumId w:val="2"/>
  </w:num>
  <w:num w:numId="7" w16cid:durableId="1387685154">
    <w:abstractNumId w:val="3"/>
  </w:num>
  <w:num w:numId="8" w16cid:durableId="1961036260">
    <w:abstractNumId w:val="1"/>
  </w:num>
  <w:num w:numId="9" w16cid:durableId="115611828">
    <w:abstractNumId w:val="6"/>
  </w:num>
  <w:num w:numId="10" w16cid:durableId="1761484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E"/>
    <w:rsid w:val="000541CF"/>
    <w:rsid w:val="00084DD2"/>
    <w:rsid w:val="000A6FA3"/>
    <w:rsid w:val="000C065E"/>
    <w:rsid w:val="000E5B41"/>
    <w:rsid w:val="000E7CCB"/>
    <w:rsid w:val="000F6B8C"/>
    <w:rsid w:val="001762BF"/>
    <w:rsid w:val="00177C96"/>
    <w:rsid w:val="0019463C"/>
    <w:rsid w:val="001F0434"/>
    <w:rsid w:val="001F161E"/>
    <w:rsid w:val="0020409E"/>
    <w:rsid w:val="00212843"/>
    <w:rsid w:val="002363EB"/>
    <w:rsid w:val="002901F3"/>
    <w:rsid w:val="002D3997"/>
    <w:rsid w:val="0032393F"/>
    <w:rsid w:val="00351CAE"/>
    <w:rsid w:val="00352190"/>
    <w:rsid w:val="0035709F"/>
    <w:rsid w:val="00372FEC"/>
    <w:rsid w:val="0038101D"/>
    <w:rsid w:val="00386C25"/>
    <w:rsid w:val="00391D0B"/>
    <w:rsid w:val="00397EA2"/>
    <w:rsid w:val="003B50FE"/>
    <w:rsid w:val="003B78EB"/>
    <w:rsid w:val="003F59B3"/>
    <w:rsid w:val="00401AFB"/>
    <w:rsid w:val="0040740B"/>
    <w:rsid w:val="00456E5D"/>
    <w:rsid w:val="0046118D"/>
    <w:rsid w:val="004D7EC1"/>
    <w:rsid w:val="004F11F8"/>
    <w:rsid w:val="00590678"/>
    <w:rsid w:val="00594A91"/>
    <w:rsid w:val="0059713A"/>
    <w:rsid w:val="005A25A7"/>
    <w:rsid w:val="006303A3"/>
    <w:rsid w:val="006B0208"/>
    <w:rsid w:val="006C3739"/>
    <w:rsid w:val="006D22FC"/>
    <w:rsid w:val="006D3189"/>
    <w:rsid w:val="00706419"/>
    <w:rsid w:val="00716AD8"/>
    <w:rsid w:val="007550FE"/>
    <w:rsid w:val="00765EC2"/>
    <w:rsid w:val="008207E5"/>
    <w:rsid w:val="00846E1D"/>
    <w:rsid w:val="008568DC"/>
    <w:rsid w:val="00887FAC"/>
    <w:rsid w:val="00890DC5"/>
    <w:rsid w:val="008C4E9A"/>
    <w:rsid w:val="00904D68"/>
    <w:rsid w:val="00994C49"/>
    <w:rsid w:val="009D0D3D"/>
    <w:rsid w:val="009F1AFA"/>
    <w:rsid w:val="00A139C9"/>
    <w:rsid w:val="00A14098"/>
    <w:rsid w:val="00A16A87"/>
    <w:rsid w:val="00A3219C"/>
    <w:rsid w:val="00A43ABC"/>
    <w:rsid w:val="00A720BC"/>
    <w:rsid w:val="00A72D01"/>
    <w:rsid w:val="00AB1265"/>
    <w:rsid w:val="00AB38AE"/>
    <w:rsid w:val="00AB4CA8"/>
    <w:rsid w:val="00B23130"/>
    <w:rsid w:val="00B314DF"/>
    <w:rsid w:val="00B34833"/>
    <w:rsid w:val="00B758A7"/>
    <w:rsid w:val="00BD4323"/>
    <w:rsid w:val="00C754D5"/>
    <w:rsid w:val="00CA5C5A"/>
    <w:rsid w:val="00D517C5"/>
    <w:rsid w:val="00DA2604"/>
    <w:rsid w:val="00DE4058"/>
    <w:rsid w:val="00E00DCA"/>
    <w:rsid w:val="00E4729A"/>
    <w:rsid w:val="00E538C4"/>
    <w:rsid w:val="00E541D0"/>
    <w:rsid w:val="00E644A2"/>
    <w:rsid w:val="00E7533C"/>
    <w:rsid w:val="00E75C18"/>
    <w:rsid w:val="00E85EAA"/>
    <w:rsid w:val="00F50270"/>
    <w:rsid w:val="00F67D6D"/>
    <w:rsid w:val="00F82F88"/>
    <w:rsid w:val="00FB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BE8F"/>
  <w15:chartTrackingRefBased/>
  <w15:docId w15:val="{76D26EB5-6405-4E99-91C0-9F454F55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0FE"/>
    <w:rPr>
      <w:rFonts w:eastAsiaTheme="majorEastAsia" w:cstheme="majorBidi"/>
      <w:color w:val="272727" w:themeColor="text1" w:themeTint="D8"/>
    </w:rPr>
  </w:style>
  <w:style w:type="paragraph" w:styleId="Title">
    <w:name w:val="Title"/>
    <w:basedOn w:val="Normal"/>
    <w:next w:val="Normal"/>
    <w:link w:val="TitleChar"/>
    <w:uiPriority w:val="10"/>
    <w:qFormat/>
    <w:rsid w:val="00755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0FE"/>
    <w:pPr>
      <w:spacing w:before="160"/>
      <w:jc w:val="center"/>
    </w:pPr>
    <w:rPr>
      <w:i/>
      <w:iCs/>
      <w:color w:val="404040" w:themeColor="text1" w:themeTint="BF"/>
    </w:rPr>
  </w:style>
  <w:style w:type="character" w:customStyle="1" w:styleId="QuoteChar">
    <w:name w:val="Quote Char"/>
    <w:basedOn w:val="DefaultParagraphFont"/>
    <w:link w:val="Quote"/>
    <w:uiPriority w:val="29"/>
    <w:rsid w:val="007550FE"/>
    <w:rPr>
      <w:i/>
      <w:iCs/>
      <w:color w:val="404040" w:themeColor="text1" w:themeTint="BF"/>
    </w:rPr>
  </w:style>
  <w:style w:type="paragraph" w:styleId="ListParagraph">
    <w:name w:val="List Paragraph"/>
    <w:basedOn w:val="Normal"/>
    <w:uiPriority w:val="34"/>
    <w:qFormat/>
    <w:rsid w:val="007550FE"/>
    <w:pPr>
      <w:ind w:left="720"/>
      <w:contextualSpacing/>
    </w:pPr>
  </w:style>
  <w:style w:type="character" w:styleId="IntenseEmphasis">
    <w:name w:val="Intense Emphasis"/>
    <w:basedOn w:val="DefaultParagraphFont"/>
    <w:uiPriority w:val="21"/>
    <w:qFormat/>
    <w:rsid w:val="007550FE"/>
    <w:rPr>
      <w:i/>
      <w:iCs/>
      <w:color w:val="0F4761" w:themeColor="accent1" w:themeShade="BF"/>
    </w:rPr>
  </w:style>
  <w:style w:type="paragraph" w:styleId="IntenseQuote">
    <w:name w:val="Intense Quote"/>
    <w:basedOn w:val="Normal"/>
    <w:next w:val="Normal"/>
    <w:link w:val="IntenseQuoteChar"/>
    <w:uiPriority w:val="30"/>
    <w:qFormat/>
    <w:rsid w:val="00755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0FE"/>
    <w:rPr>
      <w:i/>
      <w:iCs/>
      <w:color w:val="0F4761" w:themeColor="accent1" w:themeShade="BF"/>
    </w:rPr>
  </w:style>
  <w:style w:type="character" w:styleId="IntenseReference">
    <w:name w:val="Intense Reference"/>
    <w:basedOn w:val="DefaultParagraphFont"/>
    <w:uiPriority w:val="32"/>
    <w:qFormat/>
    <w:rsid w:val="007550FE"/>
    <w:rPr>
      <w:b/>
      <w:bCs/>
      <w:smallCaps/>
      <w:color w:val="0F4761" w:themeColor="accent1" w:themeShade="BF"/>
      <w:spacing w:val="5"/>
    </w:rPr>
  </w:style>
  <w:style w:type="table" w:styleId="TableGrid">
    <w:name w:val="Table Grid"/>
    <w:basedOn w:val="TableNormal"/>
    <w:uiPriority w:val="39"/>
    <w:rsid w:val="0075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78982">
      <w:bodyDiv w:val="1"/>
      <w:marLeft w:val="0"/>
      <w:marRight w:val="0"/>
      <w:marTop w:val="0"/>
      <w:marBottom w:val="0"/>
      <w:divBdr>
        <w:top w:val="none" w:sz="0" w:space="0" w:color="auto"/>
        <w:left w:val="none" w:sz="0" w:space="0" w:color="auto"/>
        <w:bottom w:val="none" w:sz="0" w:space="0" w:color="auto"/>
        <w:right w:val="none" w:sz="0" w:space="0" w:color="auto"/>
      </w:divBdr>
      <w:divsChild>
        <w:div w:id="2047094881">
          <w:marLeft w:val="0"/>
          <w:marRight w:val="0"/>
          <w:marTop w:val="0"/>
          <w:marBottom w:val="0"/>
          <w:divBdr>
            <w:top w:val="none" w:sz="0" w:space="0" w:color="auto"/>
            <w:left w:val="none" w:sz="0" w:space="0" w:color="auto"/>
            <w:bottom w:val="none" w:sz="0" w:space="0" w:color="auto"/>
            <w:right w:val="none" w:sz="0" w:space="0" w:color="auto"/>
          </w:divBdr>
        </w:div>
      </w:divsChild>
    </w:div>
    <w:div w:id="763384485">
      <w:bodyDiv w:val="1"/>
      <w:marLeft w:val="0"/>
      <w:marRight w:val="0"/>
      <w:marTop w:val="0"/>
      <w:marBottom w:val="0"/>
      <w:divBdr>
        <w:top w:val="none" w:sz="0" w:space="0" w:color="auto"/>
        <w:left w:val="none" w:sz="0" w:space="0" w:color="auto"/>
        <w:bottom w:val="none" w:sz="0" w:space="0" w:color="auto"/>
        <w:right w:val="none" w:sz="0" w:space="0" w:color="auto"/>
      </w:divBdr>
      <w:divsChild>
        <w:div w:id="2011370249">
          <w:marLeft w:val="0"/>
          <w:marRight w:val="0"/>
          <w:marTop w:val="240"/>
          <w:marBottom w:val="240"/>
          <w:divBdr>
            <w:top w:val="none" w:sz="0" w:space="0" w:color="auto"/>
            <w:left w:val="none" w:sz="0" w:space="0" w:color="auto"/>
            <w:bottom w:val="none" w:sz="0" w:space="0" w:color="auto"/>
            <w:right w:val="none" w:sz="0" w:space="0" w:color="auto"/>
          </w:divBdr>
        </w:div>
        <w:div w:id="1625888410">
          <w:marLeft w:val="0"/>
          <w:marRight w:val="0"/>
          <w:marTop w:val="0"/>
          <w:marBottom w:val="0"/>
          <w:divBdr>
            <w:top w:val="none" w:sz="0" w:space="0" w:color="auto"/>
            <w:left w:val="none" w:sz="0" w:space="0" w:color="auto"/>
            <w:bottom w:val="none" w:sz="0" w:space="0" w:color="auto"/>
            <w:right w:val="none" w:sz="0" w:space="0" w:color="auto"/>
          </w:divBdr>
        </w:div>
      </w:divsChild>
    </w:div>
    <w:div w:id="764035162">
      <w:bodyDiv w:val="1"/>
      <w:marLeft w:val="0"/>
      <w:marRight w:val="0"/>
      <w:marTop w:val="0"/>
      <w:marBottom w:val="0"/>
      <w:divBdr>
        <w:top w:val="none" w:sz="0" w:space="0" w:color="auto"/>
        <w:left w:val="none" w:sz="0" w:space="0" w:color="auto"/>
        <w:bottom w:val="none" w:sz="0" w:space="0" w:color="auto"/>
        <w:right w:val="none" w:sz="0" w:space="0" w:color="auto"/>
      </w:divBdr>
    </w:div>
    <w:div w:id="871379032">
      <w:bodyDiv w:val="1"/>
      <w:marLeft w:val="0"/>
      <w:marRight w:val="0"/>
      <w:marTop w:val="0"/>
      <w:marBottom w:val="0"/>
      <w:divBdr>
        <w:top w:val="none" w:sz="0" w:space="0" w:color="auto"/>
        <w:left w:val="none" w:sz="0" w:space="0" w:color="auto"/>
        <w:bottom w:val="none" w:sz="0" w:space="0" w:color="auto"/>
        <w:right w:val="none" w:sz="0" w:space="0" w:color="auto"/>
      </w:divBdr>
    </w:div>
    <w:div w:id="904222516">
      <w:bodyDiv w:val="1"/>
      <w:marLeft w:val="0"/>
      <w:marRight w:val="0"/>
      <w:marTop w:val="0"/>
      <w:marBottom w:val="0"/>
      <w:divBdr>
        <w:top w:val="none" w:sz="0" w:space="0" w:color="auto"/>
        <w:left w:val="none" w:sz="0" w:space="0" w:color="auto"/>
        <w:bottom w:val="none" w:sz="0" w:space="0" w:color="auto"/>
        <w:right w:val="none" w:sz="0" w:space="0" w:color="auto"/>
      </w:divBdr>
      <w:divsChild>
        <w:div w:id="1766921304">
          <w:marLeft w:val="0"/>
          <w:marRight w:val="0"/>
          <w:marTop w:val="240"/>
          <w:marBottom w:val="240"/>
          <w:divBdr>
            <w:top w:val="none" w:sz="0" w:space="0" w:color="auto"/>
            <w:left w:val="none" w:sz="0" w:space="0" w:color="auto"/>
            <w:bottom w:val="none" w:sz="0" w:space="0" w:color="auto"/>
            <w:right w:val="none" w:sz="0" w:space="0" w:color="auto"/>
          </w:divBdr>
        </w:div>
        <w:div w:id="1971278682">
          <w:marLeft w:val="0"/>
          <w:marRight w:val="0"/>
          <w:marTop w:val="0"/>
          <w:marBottom w:val="0"/>
          <w:divBdr>
            <w:top w:val="none" w:sz="0" w:space="0" w:color="auto"/>
            <w:left w:val="none" w:sz="0" w:space="0" w:color="auto"/>
            <w:bottom w:val="none" w:sz="0" w:space="0" w:color="auto"/>
            <w:right w:val="none" w:sz="0" w:space="0" w:color="auto"/>
          </w:divBdr>
        </w:div>
      </w:divsChild>
    </w:div>
    <w:div w:id="1045908990">
      <w:bodyDiv w:val="1"/>
      <w:marLeft w:val="0"/>
      <w:marRight w:val="0"/>
      <w:marTop w:val="0"/>
      <w:marBottom w:val="0"/>
      <w:divBdr>
        <w:top w:val="none" w:sz="0" w:space="0" w:color="auto"/>
        <w:left w:val="none" w:sz="0" w:space="0" w:color="auto"/>
        <w:bottom w:val="none" w:sz="0" w:space="0" w:color="auto"/>
        <w:right w:val="none" w:sz="0" w:space="0" w:color="auto"/>
      </w:divBdr>
    </w:div>
    <w:div w:id="1120345793">
      <w:bodyDiv w:val="1"/>
      <w:marLeft w:val="0"/>
      <w:marRight w:val="0"/>
      <w:marTop w:val="0"/>
      <w:marBottom w:val="0"/>
      <w:divBdr>
        <w:top w:val="none" w:sz="0" w:space="0" w:color="auto"/>
        <w:left w:val="none" w:sz="0" w:space="0" w:color="auto"/>
        <w:bottom w:val="none" w:sz="0" w:space="0" w:color="auto"/>
        <w:right w:val="none" w:sz="0" w:space="0" w:color="auto"/>
      </w:divBdr>
    </w:div>
    <w:div w:id="1158615506">
      <w:bodyDiv w:val="1"/>
      <w:marLeft w:val="0"/>
      <w:marRight w:val="0"/>
      <w:marTop w:val="0"/>
      <w:marBottom w:val="0"/>
      <w:divBdr>
        <w:top w:val="none" w:sz="0" w:space="0" w:color="auto"/>
        <w:left w:val="none" w:sz="0" w:space="0" w:color="auto"/>
        <w:bottom w:val="none" w:sz="0" w:space="0" w:color="auto"/>
        <w:right w:val="none" w:sz="0" w:space="0" w:color="auto"/>
      </w:divBdr>
    </w:div>
    <w:div w:id="1237478105">
      <w:bodyDiv w:val="1"/>
      <w:marLeft w:val="0"/>
      <w:marRight w:val="0"/>
      <w:marTop w:val="0"/>
      <w:marBottom w:val="0"/>
      <w:divBdr>
        <w:top w:val="none" w:sz="0" w:space="0" w:color="auto"/>
        <w:left w:val="none" w:sz="0" w:space="0" w:color="auto"/>
        <w:bottom w:val="none" w:sz="0" w:space="0" w:color="auto"/>
        <w:right w:val="none" w:sz="0" w:space="0" w:color="auto"/>
      </w:divBdr>
    </w:div>
    <w:div w:id="1654987573">
      <w:bodyDiv w:val="1"/>
      <w:marLeft w:val="0"/>
      <w:marRight w:val="0"/>
      <w:marTop w:val="0"/>
      <w:marBottom w:val="0"/>
      <w:divBdr>
        <w:top w:val="none" w:sz="0" w:space="0" w:color="auto"/>
        <w:left w:val="none" w:sz="0" w:space="0" w:color="auto"/>
        <w:bottom w:val="none" w:sz="0" w:space="0" w:color="auto"/>
        <w:right w:val="none" w:sz="0" w:space="0" w:color="auto"/>
      </w:divBdr>
    </w:div>
    <w:div w:id="1827814754">
      <w:bodyDiv w:val="1"/>
      <w:marLeft w:val="0"/>
      <w:marRight w:val="0"/>
      <w:marTop w:val="0"/>
      <w:marBottom w:val="0"/>
      <w:divBdr>
        <w:top w:val="none" w:sz="0" w:space="0" w:color="auto"/>
        <w:left w:val="none" w:sz="0" w:space="0" w:color="auto"/>
        <w:bottom w:val="none" w:sz="0" w:space="0" w:color="auto"/>
        <w:right w:val="none" w:sz="0" w:space="0" w:color="auto"/>
      </w:divBdr>
      <w:divsChild>
        <w:div w:id="71323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204</TotalTime>
  <Pages>4</Pages>
  <Words>1582</Words>
  <Characters>9279</Characters>
  <Application>Microsoft Office Word</Application>
  <DocSecurity>0</DocSecurity>
  <Lines>201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khharrell tnpublichealth.org</dc:creator>
  <cp:keywords/>
  <dc:description/>
  <cp:lastModifiedBy>Shatonia Kenion</cp:lastModifiedBy>
  <cp:revision>63</cp:revision>
  <dcterms:created xsi:type="dcterms:W3CDTF">2025-02-18T19:29:00Z</dcterms:created>
  <dcterms:modified xsi:type="dcterms:W3CDTF">2025-03-18T19:40:00Z</dcterms:modified>
</cp:coreProperties>
</file>